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380" w:rsidRPr="00995380" w:rsidRDefault="00995380" w:rsidP="00995380">
      <w:pPr>
        <w:rPr>
          <w:rFonts w:ascii="GalanoGrotesque-Bold" w:eastAsia="Calibri" w:hAnsi="GalanoGrotesque-Bold" w:cs="Times New Roman"/>
          <w:b/>
          <w:color w:val="000000"/>
          <w:sz w:val="32"/>
          <w:szCs w:val="32"/>
        </w:rPr>
      </w:pPr>
      <w:r>
        <w:rPr>
          <w:rFonts w:ascii="GalanoGrotesque-Bold" w:eastAsia="Calibri" w:hAnsi="GalanoGrotesque-Bold" w:cs="Times New Roman"/>
          <w:b/>
          <w:noProof/>
          <w:color w:val="000000"/>
          <w:sz w:val="32"/>
          <w:szCs w:val="32"/>
          <w:lang w:val="es-MX" w:eastAsia="es-MX"/>
        </w:rPr>
        <w:drawing>
          <wp:inline distT="0" distB="0" distL="0" distR="0" wp14:anchorId="1E3DBF11">
            <wp:extent cx="6352540" cy="82181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2540" cy="8218170"/>
                    </a:xfrm>
                    <a:prstGeom prst="rect">
                      <a:avLst/>
                    </a:prstGeom>
                    <a:noFill/>
                  </pic:spPr>
                </pic:pic>
              </a:graphicData>
            </a:graphic>
          </wp:inline>
        </w:drawing>
      </w:r>
      <w:r w:rsidRPr="004F06F2">
        <w:rPr>
          <w:rFonts w:eastAsia="Times New Roman" w:cs="Times New Roman"/>
          <w:b/>
          <w:sz w:val="26"/>
          <w:szCs w:val="22"/>
        </w:rPr>
        <w:lastRenderedPageBreak/>
        <w:t>1.8 NOTAS A LOS ESTADOS FINANCIEROS</w:t>
      </w:r>
    </w:p>
    <w:p w:rsidR="00995380" w:rsidRPr="004F06F2" w:rsidRDefault="00995380" w:rsidP="00995380">
      <w:pPr>
        <w:spacing w:before="0" w:after="0"/>
        <w:rPr>
          <w:rFonts w:eastAsia="Calibri" w:cs="Times New Roman"/>
          <w:bCs/>
          <w:color w:val="000000"/>
          <w:sz w:val="22"/>
          <w:szCs w:val="22"/>
        </w:rPr>
      </w:pPr>
    </w:p>
    <w:p w:rsidR="00995380" w:rsidRPr="004F06F2" w:rsidRDefault="00995380" w:rsidP="00995380">
      <w:pPr>
        <w:spacing w:before="0" w:after="0"/>
        <w:rPr>
          <w:rFonts w:eastAsia="Calibri" w:cs="Times New Roman"/>
          <w:bCs/>
          <w:color w:val="000000"/>
          <w:sz w:val="22"/>
          <w:szCs w:val="22"/>
        </w:rPr>
      </w:pPr>
      <w:r w:rsidRPr="004F06F2">
        <w:rPr>
          <w:rFonts w:eastAsia="Calibri" w:cs="Times New Roman"/>
          <w:bCs/>
          <w:color w:val="000000"/>
          <w:sz w:val="22"/>
          <w:szCs w:val="22"/>
        </w:rPr>
        <w:t>Las notas que se adjuntan al presente informe, son parte integrante de los estados financieros, correspondientes al Primer Trimestre del ejercicio fiscal 202</w:t>
      </w:r>
      <w:r>
        <w:rPr>
          <w:rFonts w:eastAsia="Calibri" w:cs="Times New Roman"/>
          <w:bCs/>
          <w:color w:val="000000"/>
          <w:sz w:val="22"/>
          <w:szCs w:val="22"/>
        </w:rPr>
        <w:t>5</w:t>
      </w:r>
      <w:r w:rsidRPr="004F06F2">
        <w:rPr>
          <w:rFonts w:eastAsia="Calibri" w:cs="Times New Roman"/>
          <w:bCs/>
          <w:color w:val="000000"/>
          <w:sz w:val="22"/>
          <w:szCs w:val="22"/>
        </w:rPr>
        <w:t xml:space="preserve">; las cuales, tienen como propósito aclarar o detallar la información y cifras en los mismos, y se presentan </w:t>
      </w:r>
      <w:r w:rsidRPr="004F06F2">
        <w:rPr>
          <w:rFonts w:eastAsia="Calibri" w:cs="Times New Roman"/>
          <w:sz w:val="22"/>
          <w:szCs w:val="22"/>
        </w:rPr>
        <w:t>en cumplimiento de los art</w:t>
      </w:r>
      <w:bookmarkStart w:id="0" w:name="_GoBack"/>
      <w:bookmarkEnd w:id="0"/>
      <w:r w:rsidRPr="004F06F2">
        <w:rPr>
          <w:rFonts w:eastAsia="Calibri" w:cs="Times New Roman"/>
          <w:sz w:val="22"/>
          <w:szCs w:val="22"/>
        </w:rPr>
        <w:t>ículos 47 y 49 de la Ley General de Contabilidad Gubernamental</w:t>
      </w:r>
      <w:r w:rsidRPr="004F06F2">
        <w:rPr>
          <w:rFonts w:eastAsia="Calibri" w:cs="Times New Roman"/>
          <w:bCs/>
          <w:color w:val="000000"/>
          <w:sz w:val="22"/>
          <w:szCs w:val="22"/>
        </w:rPr>
        <w:t xml:space="preserve"> y del </w:t>
      </w:r>
      <w:bookmarkStart w:id="1" w:name="_Hlk166236541"/>
      <w:r w:rsidRPr="004F06F2">
        <w:rPr>
          <w:rFonts w:eastAsia="Calibri" w:cs="Times New Roman"/>
          <w:bCs/>
          <w:color w:val="000000"/>
          <w:sz w:val="22"/>
          <w:szCs w:val="22"/>
        </w:rPr>
        <w:t>Acuerdo que reforma los Capítulos III y VII del Manual de Contabilidad Gubernamental, publicado en el Diario Oficial de la Federación del 27 de septiembre de 2018, 23 de diciembre del 2020 y 6 de diciembre de 2022, respectivamente.</w:t>
      </w:r>
      <w:bookmarkEnd w:id="1"/>
    </w:p>
    <w:p w:rsidR="00995380" w:rsidRPr="004F06F2" w:rsidRDefault="00995380" w:rsidP="00995380">
      <w:pPr>
        <w:spacing w:before="0" w:after="0"/>
        <w:rPr>
          <w:rFonts w:eastAsia="Calibri" w:cs="Times New Roman"/>
          <w:bCs/>
          <w:color w:val="000000"/>
          <w:sz w:val="22"/>
          <w:szCs w:val="22"/>
        </w:rPr>
      </w:pPr>
    </w:p>
    <w:p w:rsidR="00995380" w:rsidRPr="004F06F2" w:rsidRDefault="00995380" w:rsidP="00995380">
      <w:pPr>
        <w:spacing w:before="0" w:after="0"/>
        <w:rPr>
          <w:rFonts w:eastAsia="Calibri" w:cs="Times New Roman"/>
          <w:bCs/>
          <w:color w:val="000000"/>
          <w:sz w:val="22"/>
          <w:szCs w:val="22"/>
        </w:rPr>
      </w:pPr>
      <w:r w:rsidRPr="004F06F2">
        <w:rPr>
          <w:rFonts w:eastAsia="Calibri" w:cs="Times New Roman"/>
          <w:bCs/>
          <w:color w:val="000000"/>
          <w:sz w:val="22"/>
          <w:szCs w:val="22"/>
        </w:rPr>
        <w:t>Algunas de las cifras, están sujetas al programa de depuración iniciado con motivo de la implementación de la armonización de la contabilidad en el Estado y de acuerdo con lo establecido en la Ley General de Contabilidad Gubernamental.</w:t>
      </w:r>
    </w:p>
    <w:p w:rsidR="00995380" w:rsidRPr="004F06F2" w:rsidRDefault="00995380" w:rsidP="00995380">
      <w:pPr>
        <w:spacing w:before="0" w:after="0"/>
        <w:rPr>
          <w:rFonts w:eastAsia="Calibri" w:cs="Times New Roman"/>
          <w:bCs/>
          <w:color w:val="000000"/>
          <w:sz w:val="22"/>
          <w:szCs w:val="22"/>
        </w:rPr>
      </w:pPr>
    </w:p>
    <w:p w:rsidR="00995380" w:rsidRPr="004F06F2" w:rsidRDefault="00995380" w:rsidP="00995380">
      <w:pPr>
        <w:spacing w:before="0" w:after="0"/>
        <w:rPr>
          <w:rFonts w:eastAsia="Calibri" w:cs="Times New Roman"/>
          <w:bCs/>
          <w:color w:val="000000"/>
          <w:sz w:val="22"/>
          <w:szCs w:val="22"/>
        </w:rPr>
      </w:pPr>
      <w:r w:rsidRPr="004F06F2">
        <w:rPr>
          <w:rFonts w:eastAsia="Calibri" w:cs="Times New Roman"/>
          <w:bCs/>
          <w:color w:val="000000"/>
          <w:sz w:val="22"/>
          <w:szCs w:val="22"/>
        </w:rPr>
        <w:t>De conformidad con la citada Ley, así como con la normativa emitida por el Consejo Nacional de Armonización Contable, a continuación, se presentan las notas que acompañan a los estados financieros, a saber:</w:t>
      </w:r>
    </w:p>
    <w:p w:rsidR="00995380" w:rsidRPr="004F06F2" w:rsidRDefault="00995380" w:rsidP="00995380">
      <w:pPr>
        <w:spacing w:before="0" w:after="0"/>
        <w:rPr>
          <w:rFonts w:eastAsia="Calibri" w:cs="Times New Roman"/>
          <w:bCs/>
          <w:color w:val="000000"/>
          <w:sz w:val="22"/>
          <w:szCs w:val="22"/>
        </w:rPr>
      </w:pPr>
    </w:p>
    <w:p w:rsidR="00995380" w:rsidRPr="004F06F2" w:rsidRDefault="00995380" w:rsidP="00995380">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Notas de gestión administrativa </w:t>
      </w:r>
    </w:p>
    <w:p w:rsidR="00995380" w:rsidRPr="004F06F2" w:rsidRDefault="00995380" w:rsidP="00995380">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desglose, y</w:t>
      </w:r>
    </w:p>
    <w:p w:rsidR="00995380" w:rsidRPr="004F06F2" w:rsidRDefault="00995380" w:rsidP="00995380">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memoria.</w:t>
      </w:r>
    </w:p>
    <w:p w:rsidR="00995380" w:rsidRPr="004F06F2" w:rsidRDefault="00995380" w:rsidP="00995380">
      <w:pPr>
        <w:spacing w:before="0" w:after="0"/>
        <w:jc w:val="center"/>
        <w:rPr>
          <w:rFonts w:eastAsia="Calibri" w:cs="Times New Roman"/>
          <w:b/>
          <w:sz w:val="22"/>
          <w:szCs w:val="22"/>
        </w:rPr>
      </w:pPr>
    </w:p>
    <w:p w:rsidR="00995380" w:rsidRPr="004F06F2" w:rsidRDefault="00995380" w:rsidP="00995380">
      <w:pPr>
        <w:rPr>
          <w:rFonts w:eastAsia="Calibri" w:cs="Times New Roman"/>
          <w:b/>
        </w:rPr>
      </w:pPr>
      <w:r w:rsidRPr="004F06F2">
        <w:rPr>
          <w:rFonts w:eastAsia="Calibri" w:cs="Times New Roman"/>
          <w:b/>
        </w:rPr>
        <w:br w:type="page"/>
      </w:r>
    </w:p>
    <w:p w:rsidR="00995380" w:rsidRPr="004F06F2" w:rsidRDefault="00995380" w:rsidP="00995380">
      <w:pPr>
        <w:spacing w:before="0" w:after="0"/>
        <w:jc w:val="center"/>
        <w:rPr>
          <w:rFonts w:eastAsia="Calibri" w:cs="Times New Roman"/>
          <w:b/>
          <w:sz w:val="28"/>
          <w:szCs w:val="28"/>
        </w:rPr>
      </w:pPr>
      <w:r>
        <w:rPr>
          <w:rFonts w:eastAsia="Calibri" w:cs="Times New Roman"/>
          <w:b/>
          <w:sz w:val="28"/>
          <w:szCs w:val="28"/>
        </w:rPr>
        <w:lastRenderedPageBreak/>
        <w:t>a</w:t>
      </w:r>
      <w:r w:rsidRPr="004F06F2">
        <w:rPr>
          <w:rFonts w:eastAsia="Calibri" w:cs="Times New Roman"/>
          <w:b/>
          <w:sz w:val="28"/>
          <w:szCs w:val="28"/>
        </w:rPr>
        <w:t>) NOTAS DE GESTIÓN ADMINISTRATIVA</w:t>
      </w:r>
    </w:p>
    <w:p w:rsidR="00995380" w:rsidRPr="004F06F2" w:rsidRDefault="00995380" w:rsidP="00995380">
      <w:pPr>
        <w:spacing w:before="0" w:after="0"/>
        <w:rPr>
          <w:rFonts w:ascii="GalanoGrotesque-ExtraLight" w:eastAsia="Calibri" w:hAnsi="GalanoGrotesque-ExtraLight" w:cs="Times New Roman"/>
          <w:b/>
          <w:sz w:val="22"/>
          <w:szCs w:val="22"/>
        </w:rPr>
      </w:pPr>
    </w:p>
    <w:p w:rsidR="00995380" w:rsidRPr="004F06F2" w:rsidRDefault="00995380" w:rsidP="00995380">
      <w:pPr>
        <w:spacing w:before="0" w:after="0"/>
        <w:rPr>
          <w:rFonts w:eastAsia="Calibri" w:cs="Times New Roman"/>
          <w:b/>
          <w:bCs/>
          <w:sz w:val="22"/>
          <w:szCs w:val="22"/>
        </w:rPr>
      </w:pPr>
      <w:r w:rsidRPr="004F06F2">
        <w:rPr>
          <w:rFonts w:eastAsia="Calibri" w:cs="Times New Roman"/>
          <w:b/>
          <w:bCs/>
          <w:sz w:val="22"/>
          <w:szCs w:val="22"/>
        </w:rPr>
        <w:t>Introducción</w:t>
      </w:r>
    </w:p>
    <w:p w:rsidR="00995380" w:rsidRPr="004F06F2" w:rsidRDefault="00995380" w:rsidP="00995380">
      <w:pPr>
        <w:spacing w:before="0" w:after="0"/>
        <w:jc w:val="left"/>
        <w:rPr>
          <w:rFonts w:eastAsia="Calibri" w:cs="Times New Roman"/>
          <w:sz w:val="22"/>
          <w:szCs w:val="22"/>
        </w:rPr>
      </w:pPr>
    </w:p>
    <w:p w:rsidR="00995380" w:rsidRPr="004F06F2" w:rsidRDefault="00995380" w:rsidP="00995380">
      <w:pPr>
        <w:spacing w:after="0"/>
        <w:rPr>
          <w:rFonts w:eastAsia="Calibri" w:cs="Times New Roman"/>
        </w:rPr>
      </w:pPr>
      <w:r w:rsidRPr="004F06F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rsidR="00995380" w:rsidRPr="004F06F2" w:rsidRDefault="00995380" w:rsidP="00995380">
      <w:pPr>
        <w:spacing w:after="0"/>
        <w:rPr>
          <w:rFonts w:eastAsia="Calibri" w:cs="Times New Roman"/>
          <w:sz w:val="22"/>
          <w:szCs w:val="22"/>
        </w:rPr>
      </w:pPr>
    </w:p>
    <w:p w:rsidR="00995380" w:rsidRPr="004F06F2" w:rsidRDefault="00995380" w:rsidP="00995380">
      <w:pPr>
        <w:spacing w:after="0"/>
        <w:rPr>
          <w:rFonts w:eastAsia="Calibri" w:cs="Times New Roman"/>
        </w:rPr>
      </w:pPr>
      <w:r w:rsidRPr="004F06F2">
        <w:rPr>
          <w:rFonts w:eastAsia="Calibri" w:cs="Times New Roman"/>
          <w:sz w:val="22"/>
          <w:szCs w:val="22"/>
        </w:rPr>
        <w:t>El objetivo del presente documento es la revelación del contexto y de los aspectos económicos financieros más relevantes que influyeron en las decisiones del período, que comprende del 1 de enero al 31 de marzo de 202</w:t>
      </w:r>
      <w:r>
        <w:rPr>
          <w:rFonts w:eastAsia="Calibri" w:cs="Times New Roman"/>
          <w:sz w:val="22"/>
          <w:szCs w:val="22"/>
        </w:rPr>
        <w:t>5</w:t>
      </w:r>
      <w:r w:rsidRPr="004F06F2">
        <w:rPr>
          <w:rFonts w:eastAsia="Calibri" w:cs="Times New Roman"/>
          <w:sz w:val="22"/>
          <w:szCs w:val="22"/>
        </w:rPr>
        <w:t xml:space="preserve">, y que se consideraron en la elaboración de los Estados Financieros para la mayor comprensión de los mismos y sus particularidades. </w:t>
      </w:r>
    </w:p>
    <w:p w:rsidR="00995380" w:rsidRPr="004F06F2" w:rsidRDefault="00995380" w:rsidP="00995380">
      <w:pPr>
        <w:spacing w:after="0"/>
        <w:rPr>
          <w:rFonts w:eastAsia="Calibri" w:cs="Times New Roman"/>
          <w:sz w:val="22"/>
          <w:szCs w:val="22"/>
        </w:rPr>
      </w:pPr>
    </w:p>
    <w:p w:rsidR="00995380" w:rsidRPr="004F06F2" w:rsidRDefault="00995380" w:rsidP="00995380">
      <w:pPr>
        <w:spacing w:after="0"/>
        <w:rPr>
          <w:rFonts w:eastAsia="Calibri" w:cs="Times New Roman"/>
        </w:rPr>
      </w:pPr>
      <w:r w:rsidRPr="004F06F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rsidR="00995380" w:rsidRPr="004F06F2" w:rsidRDefault="00995380" w:rsidP="00995380">
      <w:pPr>
        <w:spacing w:before="0" w:after="0"/>
        <w:jc w:val="left"/>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lastRenderedPageBreak/>
        <w:t>En este contexto, en la normativa aplicable se establecen registros que permiten identificar la interrelación de las operaciones.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1.</w:t>
      </w:r>
      <w:r w:rsidRPr="004F06F2">
        <w:rPr>
          <w:rFonts w:eastAsia="Calibri" w:cs="Times New Roman"/>
          <w:b/>
          <w:sz w:val="22"/>
          <w:szCs w:val="22"/>
        </w:rPr>
        <w:tab/>
        <w:t>Autorización e Historia</w:t>
      </w: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a) Fecha de creación:</w:t>
      </w:r>
    </w:p>
    <w:p w:rsidR="00995380" w:rsidRPr="004F06F2" w:rsidRDefault="00995380" w:rsidP="00995380">
      <w:pPr>
        <w:rPr>
          <w:sz w:val="22"/>
          <w:szCs w:val="22"/>
        </w:rPr>
      </w:pPr>
      <w:r w:rsidRPr="004F06F2">
        <w:rPr>
          <w:sz w:val="22"/>
          <w:szCs w:val="22"/>
        </w:rPr>
        <w:t>Se creó el Estado Libre y Soberano de Michoacán, al expedirse el Acta Constitutiva de la Federación Mexicana, el 31 de enero de 1824, por decreto de la Cámara Constituyente de la Nación. El 6 de abril del mismo año, se instaló el Congreso Local Constituyente El Estado fue dividido en 4 departamentos y 22 partidos, por decreto de la Ley Territorial de 1825, y el 19 de julio, se contó con su primera Constitución Política.</w:t>
      </w:r>
    </w:p>
    <w:p w:rsidR="00995380" w:rsidRPr="004F06F2" w:rsidRDefault="00995380" w:rsidP="00995380">
      <w:pPr>
        <w:spacing w:before="0" w:after="0"/>
        <w:rPr>
          <w:sz w:val="22"/>
          <w:szCs w:val="22"/>
        </w:rPr>
      </w:pPr>
    </w:p>
    <w:p w:rsidR="00995380" w:rsidRPr="004F06F2" w:rsidRDefault="00995380" w:rsidP="00995380">
      <w:pPr>
        <w:spacing w:before="0" w:after="0"/>
        <w:rPr>
          <w:sz w:val="22"/>
          <w:szCs w:val="22"/>
        </w:rPr>
      </w:pPr>
      <w:r w:rsidRPr="004F06F2">
        <w:rPr>
          <w:sz w:val="22"/>
          <w:szCs w:val="22"/>
        </w:rPr>
        <w:t>El día 08 de octubre de 2021 se publica en el Periódico Oficial del Estado la Ley Orgánica de la Administración Pública del Estado de Michoacán de Ocampo.</w:t>
      </w:r>
    </w:p>
    <w:p w:rsidR="00995380" w:rsidRPr="004F06F2" w:rsidRDefault="00995380" w:rsidP="00995380">
      <w:pPr>
        <w:spacing w:before="0" w:after="0"/>
        <w:rPr>
          <w:sz w:val="22"/>
          <w:szCs w:val="22"/>
        </w:rPr>
      </w:pPr>
    </w:p>
    <w:p w:rsidR="00995380" w:rsidRPr="004F06F2" w:rsidRDefault="00995380" w:rsidP="00995380">
      <w:pPr>
        <w:spacing w:before="0" w:after="0"/>
        <w:rPr>
          <w:sz w:val="22"/>
          <w:szCs w:val="22"/>
        </w:rPr>
      </w:pPr>
      <w:r w:rsidRPr="004F06F2">
        <w:rPr>
          <w:sz w:val="22"/>
          <w:szCs w:val="22"/>
        </w:rPr>
        <w:t>Actualmente, el Estado comprende 113 Municipios, con autonomía en cuanto a su gobierno interno.</w:t>
      </w:r>
    </w:p>
    <w:p w:rsidR="00995380" w:rsidRPr="004F06F2" w:rsidRDefault="00995380" w:rsidP="00995380">
      <w:pPr>
        <w:spacing w:before="0" w:after="0"/>
        <w:rPr>
          <w:sz w:val="22"/>
          <w:szCs w:val="22"/>
        </w:rPr>
      </w:pPr>
    </w:p>
    <w:p w:rsidR="00995380" w:rsidRPr="004F06F2" w:rsidRDefault="00995380" w:rsidP="00995380">
      <w:pPr>
        <w:spacing w:before="0" w:after="0"/>
        <w:rPr>
          <w:sz w:val="22"/>
          <w:szCs w:val="22"/>
        </w:rPr>
      </w:pPr>
      <w:r w:rsidRPr="004F06F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rsidR="00995380" w:rsidRPr="004F06F2" w:rsidRDefault="00995380" w:rsidP="00995380">
      <w:pPr>
        <w:spacing w:before="0" w:after="0"/>
        <w:rPr>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b) Principales cambios en su estructura:</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Con fecha 25 de septiembre de 2023, se publicó la última reforma a la Ley Orgánica de la Administración Pública del Estado de Michoacán de Ocampo en la cual, se realizaron cambios sustanciales a las </w:t>
      </w:r>
      <w:r w:rsidRPr="004F06F2">
        <w:rPr>
          <w:rFonts w:eastAsia="Calibri" w:cs="Times New Roman"/>
          <w:sz w:val="22"/>
          <w:szCs w:val="22"/>
        </w:rPr>
        <w:lastRenderedPageBreak/>
        <w:t>dependencias del Ejecutivo Estatal, atendiendo a criterios de austeridad y eficiencia en el gasto público.</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El 15 de febrero de 2022, se publicó el Reglamento Interior de la Secretaría de Finanzas y Administración, en </w:t>
      </w:r>
      <w:r>
        <w:rPr>
          <w:rFonts w:eastAsia="Calibri" w:cs="Times New Roman"/>
          <w:sz w:val="22"/>
          <w:szCs w:val="22"/>
        </w:rPr>
        <w:t xml:space="preserve">el </w:t>
      </w:r>
      <w:r w:rsidRPr="004F06F2">
        <w:rPr>
          <w:rFonts w:eastAsia="Calibri" w:cs="Times New Roman"/>
          <w:sz w:val="22"/>
          <w:szCs w:val="22"/>
        </w:rPr>
        <w:t xml:space="preserve">cual se otorgan y especifican las facultades para la aprobación de los estados financieros y la integración de los informes de avance trimestral y cuenta pública anual de cada ejercicio fiscal. El 12 de diciembre de 2022, se realizaron modificaciones a dicho reglamento, con cambios sustanciales en materia de recaudación, así como la emisión, en la misma fecha, del Manual de Organización de la Secretaría de Finanzas y Administración. La última reforma fue el 29 de diciembre de 2023 donde se realizaron cambios en la organización de la Secretaría de Finanzas y Administración en el Artículo 15 fracción I Subsecretaría de </w:t>
      </w:r>
      <w:r>
        <w:rPr>
          <w:rFonts w:eastAsia="Calibri" w:cs="Times New Roman"/>
          <w:sz w:val="22"/>
          <w:szCs w:val="22"/>
        </w:rPr>
        <w:t>I</w:t>
      </w:r>
      <w:r w:rsidRPr="004F06F2">
        <w:rPr>
          <w:rFonts w:eastAsia="Calibri" w:cs="Times New Roman"/>
          <w:sz w:val="22"/>
          <w:szCs w:val="22"/>
        </w:rPr>
        <w:t>ngresos 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rsidR="00995380" w:rsidRDefault="00995380" w:rsidP="00995380">
      <w:pPr>
        <w:spacing w:before="0" w:after="0"/>
        <w:rPr>
          <w:sz w:val="22"/>
          <w:szCs w:val="22"/>
        </w:rPr>
      </w:pPr>
    </w:p>
    <w:p w:rsidR="00995380" w:rsidRPr="004F06F2" w:rsidRDefault="00995380" w:rsidP="00995380">
      <w:pPr>
        <w:spacing w:before="0" w:after="0"/>
        <w:rPr>
          <w:rFonts w:eastAsia="Calibri" w:cs="Times New Roman"/>
          <w:sz w:val="22"/>
          <w:szCs w:val="22"/>
        </w:rPr>
      </w:pPr>
      <w:r w:rsidRPr="004F06F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El 3 de noviembre de 2023 se publicó el </w:t>
      </w:r>
      <w:bookmarkStart w:id="2" w:name="_Hlk166238001"/>
      <w:r w:rsidRPr="004F06F2">
        <w:rPr>
          <w:rFonts w:eastAsia="Calibri" w:cs="Times New Roman"/>
          <w:sz w:val="22"/>
          <w:szCs w:val="22"/>
        </w:rPr>
        <w:t>Manual de Normas y Lineamientos para el Ejercicio y Control del Presupuesto de Egresos del Estado de Michoacán de Ocampo</w:t>
      </w:r>
      <w:bookmarkEnd w:id="2"/>
      <w:r w:rsidRPr="004F06F2">
        <w:rPr>
          <w:rFonts w:eastAsia="Calibri" w:cs="Times New Roman"/>
          <w:sz w:val="22"/>
          <w:szCs w:val="22"/>
        </w:rPr>
        <w:t>, que incluye en sus lineamientos al Documento de Ejecución Presupuestaria y Pago Digital.</w:t>
      </w:r>
    </w:p>
    <w:p w:rsidR="00995380" w:rsidRPr="004F06F2" w:rsidRDefault="00995380" w:rsidP="00995380">
      <w:pPr>
        <w:spacing w:before="0" w:after="0"/>
        <w:rPr>
          <w:rFonts w:eastAsia="Calibri" w:cs="Times New Roman"/>
          <w:sz w:val="22"/>
          <w:szCs w:val="22"/>
        </w:rPr>
      </w:pPr>
    </w:p>
    <w:p w:rsidR="00995380" w:rsidRPr="000F3C6A" w:rsidRDefault="00995380" w:rsidP="00995380">
      <w:pPr>
        <w:spacing w:before="0" w:after="0"/>
        <w:rPr>
          <w:rFonts w:eastAsia="Calibri" w:cs="Times New Roman"/>
          <w:b/>
          <w:bCs/>
          <w:sz w:val="22"/>
          <w:szCs w:val="22"/>
        </w:rPr>
      </w:pPr>
      <w:r w:rsidRPr="000F3C6A">
        <w:rPr>
          <w:rFonts w:eastAsia="Calibri" w:cs="Times New Roman"/>
          <w:b/>
          <w:bCs/>
          <w:sz w:val="22"/>
          <w:szCs w:val="22"/>
        </w:rPr>
        <w:t>2.- Panorama económico y financiero</w:t>
      </w:r>
    </w:p>
    <w:p w:rsidR="00995380" w:rsidRPr="004F06F2" w:rsidRDefault="00995380" w:rsidP="00995380">
      <w:pPr>
        <w:spacing w:before="0" w:after="0"/>
        <w:rPr>
          <w:rFonts w:eastAsia="Calibri" w:cs="Times New Roman"/>
          <w:sz w:val="22"/>
          <w:szCs w:val="22"/>
        </w:rPr>
      </w:pPr>
    </w:p>
    <w:p w:rsidR="00995380" w:rsidRDefault="00995380" w:rsidP="00995380">
      <w:r w:rsidRPr="004F06F2">
        <w:lastRenderedPageBreak/>
        <w:t>Conforme al informe financiero del cuarto trimestre de 202</w:t>
      </w:r>
      <w:r>
        <w:t>4</w:t>
      </w:r>
      <w:r w:rsidRPr="004F06F2">
        <w:t xml:space="preserve">, presentado por el Banco de México (BANXICO), el </w:t>
      </w:r>
      <w:r>
        <w:t>19</w:t>
      </w:r>
      <w:r w:rsidRPr="004F06F2">
        <w:t xml:space="preserve"> de febrero de 202</w:t>
      </w:r>
      <w:r>
        <w:t>5</w:t>
      </w:r>
      <w:r w:rsidRPr="004F06F2">
        <w:t>,</w:t>
      </w:r>
      <w:r>
        <w:t xml:space="preserve"> </w:t>
      </w:r>
      <w:r w:rsidRPr="00A57469">
        <w:t>la inflación general en México mostró un descenso, rompiendo con la tendencia al alza que había prevalecido en los tres trimestres anteriores debido a los choques de oferta que afectaron la economía. Sin embargo, en contraste con esta mejora en el frente inflacionario, la actividad económica del país experimentó una contracción, reflejando un entorno interno desafiante.</w:t>
      </w:r>
    </w:p>
    <w:p w:rsidR="00995380" w:rsidRPr="00A57469" w:rsidRDefault="00995380" w:rsidP="00995380"/>
    <w:p w:rsidR="00995380" w:rsidRPr="00A57469" w:rsidRDefault="00995380" w:rsidP="00995380">
      <w:r w:rsidRPr="00A57469">
        <w:t>En los mercados financieros nacionales, se observó un episodio de volatilidad, principalmente originado por la incertidumbre respecto a la posible implementación de medidas que podrían debilitar la integración económica con el principal socio comercial de México, es decir, Estados Unidos. Ante este contexto, el Banco de México continuó con su ciclo de recortes en la tasa de referencia, con lo cual buscó moderar el grado de restricción monetaria, tratando de equilibrar la estabilidad financiera con el impulso a la actividad económica.</w:t>
      </w:r>
    </w:p>
    <w:p w:rsidR="00995380" w:rsidRDefault="00995380" w:rsidP="00995380">
      <w:r w:rsidRPr="00A57469">
        <w:t>En el ámbito internacional, la actividad económica global mostró una moderación en su ritmo de expansión en comparación con lo observado a lo largo del año anterior. No obstante, persisten importantes diferencias entre países, reflejando una recuperación desigual a nivel mundial.</w:t>
      </w:r>
    </w:p>
    <w:p w:rsidR="00995380" w:rsidRDefault="00995380" w:rsidP="00995380">
      <w:r w:rsidRPr="00A57469">
        <w:t>A lo largo de 2024, se registraron avances importantes en la convergencia de la inflación hacia los objetivos de los bancos centrales, sobre todo en las economías avanzadas. Sin embargo, en varias de estas naciones también se reportó un repunte en la inflación general, lo que generó un entorno mixto para la conducción de la política monetaria.</w:t>
      </w:r>
    </w:p>
    <w:p w:rsidR="00995380" w:rsidRDefault="00995380" w:rsidP="00995380"/>
    <w:p w:rsidR="00995380" w:rsidRPr="000E5067" w:rsidRDefault="00995380" w:rsidP="00995380">
      <w:r w:rsidRPr="00A57469">
        <w:lastRenderedPageBreak/>
        <w:t>Como consecuencia de este panorama global, muchos bancos centrales, tanto de economías avanzadas como emergentes, optaron por disminuir sus tasas de política monetaria, buscando apoyar la recuperación económica. No obstante, algunos de ellos decidieron mantener sus tasas sin cambios en las decisiones más recientes, luego de haberlas reducido previamente, adoptando así un enfoque más cauteloso frente a los riesgos de inflación y crecimiento.</w:t>
      </w:r>
    </w:p>
    <w:p w:rsidR="00995380" w:rsidRDefault="00995380" w:rsidP="00995380">
      <w:pPr>
        <w:spacing w:before="0" w:after="0"/>
        <w:rPr>
          <w:rFonts w:eastAsia="Calibri" w:cs="Times New Roman"/>
          <w:sz w:val="22"/>
          <w:szCs w:val="22"/>
          <w:highlight w:val="yellow"/>
        </w:rPr>
      </w:pPr>
    </w:p>
    <w:p w:rsidR="00995380" w:rsidRDefault="00995380" w:rsidP="00995380">
      <w:pPr>
        <w:spacing w:before="0" w:after="0"/>
      </w:pPr>
      <w:r>
        <w:t>De acuerdo al INEGI, el mercado laboral, mostró signos de estancamiento. Aunque los sectores primario y terciario mantuvieron cierto dinamismo, no se generaron suficientes empleos formales para absorber la demanda laboral, lo que evidencia las limitaciones estructurales de la economía estatal.</w:t>
      </w:r>
    </w:p>
    <w:p w:rsidR="00995380" w:rsidRDefault="00995380" w:rsidP="00995380">
      <w:pPr>
        <w:spacing w:before="0" w:after="0"/>
      </w:pPr>
    </w:p>
    <w:p w:rsidR="00995380" w:rsidRDefault="00995380" w:rsidP="00995380">
      <w:pPr>
        <w:spacing w:before="0" w:after="0"/>
      </w:pPr>
      <w:r>
        <w:t xml:space="preserve">Durante el primer trimestre de 2025, la economía de Michoacán mostró un desempeño mixto, enmarcado en un contexto nacional e internacional desafiante. A nivel global, la actividad económica moderó su ritmo de expansión respecto al año anterior, con claras diferencias entre países. Las economías avanzadas avanzaron en la convergencia de su inflación hacia las metas de sus bancos centrales, lo que permitió a muchos de ellos reducir sus tasas de interés, aunque algunos optaron por mantenerlas estables luego de recortes previos. En México, la inflación general comenzó a descender después de tres trimestres de aumentos, impulsados principalmente por choques de oferta. Sin embargo, la actividad económica del país se contrajo, y los mercados financieros nacionales mostraron episodios de volatilidad, en gran medida por la incertidumbre respecto a posibles medidas que debiliten la integración económica con Estados Unidos, su principal socio comercial. En </w:t>
      </w:r>
      <w:r>
        <w:lastRenderedPageBreak/>
        <w:t>respuesta a este entorno, el Banco de México continuó con el ciclo de recortes en la tasa de referencia, buscando suavizar el endurecimiento de la política monetaria.</w:t>
      </w:r>
    </w:p>
    <w:p w:rsidR="00995380" w:rsidRDefault="00995380" w:rsidP="00995380">
      <w:pPr>
        <w:spacing w:before="0" w:after="0"/>
      </w:pPr>
    </w:p>
    <w:p w:rsidR="00995380" w:rsidRDefault="00995380" w:rsidP="00995380">
      <w:pPr>
        <w:spacing w:before="0" w:after="0"/>
      </w:pPr>
      <w:r>
        <w:t>Este panorama se reflejó de manera diferenciada en los sectores económicos. El sector primario, centrado en la agricultura, la ganadería y la pesca, creció de forma notable, impulsado por la demanda de productos como el aguacate, el limón y las moras, alcanzando un crecimiento anual del 16.8%, lo que posicionó al estado en uno de los primeros lugares a nivel nacional en este rubro. El sector terciario, que abarca comercio y servicios, también mostró dinamismo con un crecimiento anual del 3.9%, apoyado por la recuperación del consumo interno, el turismo local y los servicios financieros. En contraste, el sector secundario, que comprende la industria, la manufactura y la construcción, registró una disminución anual del 14%, ubicándose en los últimos lugares a nivel nacional, lo cual refleja los retos persistentes en términos de inversión, producción industrial y actividad constructiva.</w:t>
      </w:r>
    </w:p>
    <w:p w:rsidR="00995380" w:rsidRDefault="00995380" w:rsidP="00995380">
      <w:pPr>
        <w:spacing w:before="0" w:after="0"/>
      </w:pPr>
    </w:p>
    <w:p w:rsidR="00995380" w:rsidRPr="000E5067" w:rsidRDefault="00995380" w:rsidP="00995380">
      <w:pPr>
        <w:spacing w:before="0" w:after="0"/>
      </w:pPr>
      <w:r>
        <w:t>En este mismo tenor, Michoacán enfrenta no solo retos locales, sino también riesgos asociados al contexto externo, como una posible desaceleración en Estados Unidos que impacte el envío de remesas o la demanda de exportaciones agroalimentarias. No obstante, existen oportunidades relevantes, particularmente en el fortalecimiento del sector agroexportador, la diversificación de mercados internacionales, el aprovechamiento del turismo local y la formalización del empleo. La recuperación de la economía estatal dependerá, en buena medida, de su capacidad para sortear estos desafíos y de aprovechar sus ventajas comparativas en un contexto económico nacional e internacional todavía incierto</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3.</w:t>
      </w:r>
      <w:r w:rsidRPr="004F06F2">
        <w:rPr>
          <w:rFonts w:eastAsia="Calibri" w:cs="Times New Roman"/>
          <w:b/>
          <w:sz w:val="22"/>
          <w:szCs w:val="22"/>
        </w:rPr>
        <w:tab/>
        <w:t>Organización y Objeto Social</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Se informa sobre:</w:t>
      </w:r>
    </w:p>
    <w:p w:rsidR="00995380" w:rsidRPr="004F06F2" w:rsidRDefault="00995380" w:rsidP="00995380">
      <w:pPr>
        <w:spacing w:before="0" w:after="0"/>
        <w:ind w:firstLine="360"/>
        <w:rPr>
          <w:rFonts w:eastAsia="Calibri" w:cs="Times New Roman"/>
          <w:b/>
          <w:bCs/>
          <w:sz w:val="22"/>
          <w:szCs w:val="22"/>
        </w:rPr>
      </w:pPr>
    </w:p>
    <w:p w:rsidR="00995380" w:rsidRPr="004F06F2" w:rsidRDefault="00995380" w:rsidP="00995380">
      <w:pPr>
        <w:spacing w:before="0" w:after="0"/>
        <w:ind w:firstLine="360"/>
        <w:rPr>
          <w:rFonts w:eastAsia="Calibri" w:cs="Times New Roman"/>
          <w:b/>
          <w:bCs/>
          <w:sz w:val="22"/>
          <w:szCs w:val="22"/>
        </w:rPr>
      </w:pPr>
      <w:r w:rsidRPr="004F06F2">
        <w:rPr>
          <w:rFonts w:eastAsia="Calibri" w:cs="Times New Roman"/>
          <w:b/>
          <w:bCs/>
          <w:sz w:val="22"/>
          <w:szCs w:val="22"/>
        </w:rPr>
        <w:t>a) Objeto Social</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El Gobierno de Michoacán tiene como objetivo </w:t>
      </w:r>
      <w:r>
        <w:rPr>
          <w:rFonts w:eastAsia="Calibri" w:cs="Times New Roman"/>
          <w:sz w:val="22"/>
          <w:szCs w:val="22"/>
        </w:rPr>
        <w:t>la administración pública, el manejo de la hacienda pública, recaudando los ingresos estatales y destinándolos al gasto público, para</w:t>
      </w:r>
      <w:r w:rsidRPr="004F06F2">
        <w:rPr>
          <w:rFonts w:eastAsia="Calibri" w:cs="Times New Roman"/>
          <w:sz w:val="22"/>
          <w:szCs w:val="22"/>
        </w:rPr>
        <w:t xml:space="preserv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rsidR="00995380" w:rsidRPr="004F06F2" w:rsidRDefault="00995380" w:rsidP="00995380">
      <w:pPr>
        <w:spacing w:before="0" w:after="0"/>
        <w:rPr>
          <w:rFonts w:eastAsia="Calibri" w:cs="Times New Roman"/>
          <w:sz w:val="22"/>
          <w:szCs w:val="22"/>
        </w:rPr>
      </w:pPr>
    </w:p>
    <w:p w:rsidR="00995380" w:rsidRPr="00FC64E0" w:rsidRDefault="00995380" w:rsidP="00995380">
      <w:pPr>
        <w:spacing w:before="0" w:after="0"/>
        <w:rPr>
          <w:rFonts w:eastAsia="Calibri" w:cs="Times New Roman"/>
          <w:sz w:val="22"/>
          <w:szCs w:val="22"/>
        </w:rPr>
      </w:pPr>
      <w:r w:rsidRPr="004F06F2">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rsidR="00995380" w:rsidRPr="004F06F2" w:rsidRDefault="00995380" w:rsidP="00995380">
      <w:pPr>
        <w:spacing w:before="0" w:after="0"/>
        <w:ind w:firstLine="360"/>
        <w:rPr>
          <w:rFonts w:eastAsia="Calibri" w:cs="Times New Roman"/>
          <w:b/>
          <w:bCs/>
          <w:sz w:val="22"/>
          <w:szCs w:val="22"/>
        </w:rPr>
      </w:pPr>
      <w:r w:rsidRPr="004F06F2">
        <w:rPr>
          <w:rFonts w:eastAsia="Calibri" w:cs="Times New Roman"/>
          <w:b/>
          <w:bCs/>
          <w:sz w:val="22"/>
          <w:szCs w:val="22"/>
        </w:rPr>
        <w:t>b)  Principal Actividad:</w:t>
      </w:r>
    </w:p>
    <w:p w:rsidR="00995380" w:rsidRPr="004F06F2" w:rsidRDefault="00995380" w:rsidP="00995380">
      <w:pPr>
        <w:pStyle w:val="Prrafodelista"/>
        <w:spacing w:line="360" w:lineRule="auto"/>
        <w:ind w:left="765"/>
        <w:rPr>
          <w:rFonts w:ascii="GalanoGrotesque-ExtraLight" w:eastAsia="Calibri" w:hAnsi="GalanoGrotesque-ExtraLight"/>
          <w:b/>
          <w:sz w:val="22"/>
          <w:szCs w:val="22"/>
          <w:lang w:val="es-MX"/>
        </w:rPr>
      </w:pPr>
    </w:p>
    <w:p w:rsidR="00995380" w:rsidRPr="004F06F2" w:rsidRDefault="00995380" w:rsidP="00995380">
      <w:pPr>
        <w:rPr>
          <w:rFonts w:eastAsia="Calibri" w:cs="Times New Roman"/>
          <w:sz w:val="22"/>
          <w:szCs w:val="22"/>
        </w:rPr>
      </w:pPr>
      <w:r w:rsidRPr="004F06F2">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 del Estado.</w:t>
      </w:r>
    </w:p>
    <w:p w:rsidR="00995380" w:rsidRPr="004F06F2" w:rsidRDefault="00995380" w:rsidP="00995380">
      <w:pPr>
        <w:spacing w:before="0" w:after="0"/>
        <w:ind w:firstLine="360"/>
        <w:rPr>
          <w:rFonts w:eastAsia="Calibri" w:cs="Times New Roman"/>
          <w:b/>
          <w:bCs/>
          <w:sz w:val="22"/>
          <w:szCs w:val="22"/>
        </w:rPr>
      </w:pPr>
    </w:p>
    <w:p w:rsidR="00995380" w:rsidRPr="004F06F2" w:rsidRDefault="00995380" w:rsidP="00995380">
      <w:pPr>
        <w:spacing w:before="0" w:after="0"/>
        <w:ind w:firstLine="360"/>
        <w:rPr>
          <w:rFonts w:eastAsia="Calibri" w:cs="Times New Roman"/>
          <w:b/>
          <w:bCs/>
          <w:sz w:val="22"/>
          <w:szCs w:val="22"/>
        </w:rPr>
      </w:pPr>
      <w:r w:rsidRPr="004F06F2">
        <w:rPr>
          <w:rFonts w:eastAsia="Calibri" w:cs="Times New Roman"/>
          <w:b/>
          <w:bCs/>
          <w:sz w:val="22"/>
          <w:szCs w:val="22"/>
        </w:rPr>
        <w:t>c) Ejercicio Fiscal</w:t>
      </w:r>
    </w:p>
    <w:p w:rsidR="00995380" w:rsidRPr="004F06F2" w:rsidRDefault="00995380" w:rsidP="00995380">
      <w:pPr>
        <w:rPr>
          <w:rFonts w:eastAsia="Calibri" w:cs="Times New Roman"/>
          <w:sz w:val="22"/>
          <w:szCs w:val="22"/>
        </w:rPr>
      </w:pPr>
      <w:r w:rsidRPr="004F06F2">
        <w:rPr>
          <w:rFonts w:eastAsia="Calibri" w:cs="Times New Roman"/>
          <w:sz w:val="22"/>
          <w:szCs w:val="22"/>
        </w:rPr>
        <w:t>Se informa el periodo del 1 de enero al 31 de marzo de 202</w:t>
      </w:r>
      <w:r>
        <w:rPr>
          <w:rFonts w:eastAsia="Calibri" w:cs="Times New Roman"/>
          <w:sz w:val="22"/>
          <w:szCs w:val="22"/>
        </w:rPr>
        <w:t>5</w:t>
      </w:r>
      <w:r w:rsidRPr="004F06F2">
        <w:rPr>
          <w:rFonts w:eastAsia="Calibri" w:cs="Times New Roman"/>
          <w:sz w:val="22"/>
          <w:szCs w:val="22"/>
        </w:rPr>
        <w:t>.</w:t>
      </w:r>
    </w:p>
    <w:p w:rsidR="00995380" w:rsidRPr="004F06F2" w:rsidRDefault="00995380" w:rsidP="00995380">
      <w:pPr>
        <w:spacing w:before="0" w:after="0"/>
        <w:ind w:firstLine="360"/>
        <w:rPr>
          <w:rFonts w:eastAsia="Calibri" w:cs="Times New Roman"/>
          <w:b/>
          <w:bCs/>
          <w:sz w:val="22"/>
          <w:szCs w:val="22"/>
        </w:rPr>
      </w:pPr>
    </w:p>
    <w:p w:rsidR="00995380" w:rsidRPr="004F06F2" w:rsidRDefault="00995380" w:rsidP="00995380">
      <w:pPr>
        <w:spacing w:before="0" w:after="0"/>
        <w:ind w:firstLine="360"/>
        <w:rPr>
          <w:rFonts w:eastAsia="Calibri" w:cs="Times New Roman"/>
          <w:b/>
          <w:bCs/>
          <w:sz w:val="22"/>
          <w:szCs w:val="22"/>
        </w:rPr>
      </w:pPr>
      <w:r w:rsidRPr="004F06F2">
        <w:rPr>
          <w:rFonts w:eastAsia="Calibri" w:cs="Times New Roman"/>
          <w:b/>
          <w:bCs/>
          <w:sz w:val="22"/>
          <w:szCs w:val="22"/>
        </w:rPr>
        <w:lastRenderedPageBreak/>
        <w:t>d) Régimen Jurídico</w:t>
      </w:r>
    </w:p>
    <w:p w:rsidR="00995380" w:rsidRPr="004F06F2" w:rsidRDefault="00995380" w:rsidP="00995380">
      <w:pPr>
        <w:spacing w:before="0" w:after="0"/>
        <w:ind w:firstLine="360"/>
        <w:rPr>
          <w:rFonts w:eastAsia="Calibri" w:cs="Times New Roman"/>
          <w:b/>
          <w:bCs/>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4F06F2">
        <w:rPr>
          <w:sz w:val="22"/>
          <w:szCs w:val="22"/>
        </w:rPr>
        <w:t xml:space="preserve">y está constituido por la porción de territorio nacional que le reconozcan la Constitución Federal, las leyes y los convenios. </w:t>
      </w:r>
    </w:p>
    <w:p w:rsidR="00995380" w:rsidRDefault="00995380" w:rsidP="00995380">
      <w:pPr>
        <w:spacing w:before="0" w:after="0"/>
        <w:rPr>
          <w:sz w:val="22"/>
          <w:szCs w:val="22"/>
        </w:rPr>
      </w:pPr>
    </w:p>
    <w:p w:rsidR="00995380" w:rsidRDefault="00995380" w:rsidP="00995380">
      <w:pPr>
        <w:spacing w:before="0" w:after="0"/>
        <w:rPr>
          <w:sz w:val="22"/>
          <w:szCs w:val="22"/>
        </w:rPr>
      </w:pPr>
      <w:r>
        <w:rPr>
          <w:sz w:val="22"/>
          <w:szCs w:val="22"/>
        </w:rPr>
        <w:t>El Código Civil Federal reconoce a los estados como personas morales, por lo que el Estado de Michoacán de Ocampo, se reconoce en materia civil como una persona moral.</w:t>
      </w:r>
    </w:p>
    <w:p w:rsidR="00995380" w:rsidRPr="004F06F2" w:rsidRDefault="00995380" w:rsidP="00995380">
      <w:pPr>
        <w:spacing w:before="0" w:after="0"/>
        <w:rPr>
          <w:sz w:val="22"/>
          <w:szCs w:val="22"/>
        </w:rPr>
      </w:pPr>
    </w:p>
    <w:p w:rsidR="00995380" w:rsidRPr="004F06F2" w:rsidRDefault="00995380" w:rsidP="00995380">
      <w:pPr>
        <w:spacing w:before="0" w:after="0"/>
        <w:rPr>
          <w:sz w:val="22"/>
          <w:szCs w:val="22"/>
        </w:rPr>
      </w:pPr>
      <w:r w:rsidRPr="004F06F2">
        <w:rPr>
          <w:sz w:val="22"/>
          <w:szCs w:val="22"/>
        </w:rPr>
        <w:t>El Poder Público del Estado se divide para su ejercicio en Ejecutivo, Legislativo y Judicial, los cuales actuarán separada y libremente, pero cooperando, en forma armónica, a la realización de los fines del Estado.</w:t>
      </w:r>
    </w:p>
    <w:p w:rsidR="00995380" w:rsidRPr="004F06F2" w:rsidRDefault="00995380" w:rsidP="00995380">
      <w:pPr>
        <w:spacing w:before="0" w:after="0"/>
        <w:rPr>
          <w:sz w:val="22"/>
          <w:szCs w:val="22"/>
        </w:rPr>
      </w:pPr>
    </w:p>
    <w:p w:rsidR="00995380" w:rsidRPr="004F06F2" w:rsidRDefault="00995380" w:rsidP="00995380">
      <w:pPr>
        <w:spacing w:before="0" w:after="0"/>
        <w:rPr>
          <w:sz w:val="22"/>
          <w:szCs w:val="22"/>
        </w:rPr>
      </w:pPr>
      <w:r w:rsidRPr="004F06F2">
        <w:rPr>
          <w:sz w:val="22"/>
          <w:szCs w:val="22"/>
        </w:rPr>
        <w:t>Se deposita el ejercicio del Poder Legislativo en una asamblea que se denominará: Congreso del Estado de Michoacán de Ocampo.</w:t>
      </w:r>
    </w:p>
    <w:p w:rsidR="00995380" w:rsidRDefault="00995380" w:rsidP="00995380">
      <w:pPr>
        <w:spacing w:before="0" w:after="0"/>
        <w:rPr>
          <w:rFonts w:eastAsia="Calibri" w:cs="Times New Roman"/>
          <w:b/>
          <w:bCs/>
          <w:sz w:val="22"/>
          <w:szCs w:val="22"/>
        </w:rPr>
      </w:pPr>
    </w:p>
    <w:p w:rsidR="00995380" w:rsidRPr="004F06F2" w:rsidRDefault="00995380" w:rsidP="00995380">
      <w:pPr>
        <w:spacing w:before="0" w:after="0"/>
        <w:ind w:firstLine="360"/>
        <w:rPr>
          <w:rFonts w:eastAsia="Calibri" w:cs="Times New Roman"/>
          <w:b/>
          <w:bCs/>
          <w:sz w:val="22"/>
          <w:szCs w:val="22"/>
        </w:rPr>
      </w:pPr>
      <w:r w:rsidRPr="004F06F2">
        <w:rPr>
          <w:rFonts w:eastAsia="Calibri" w:cs="Times New Roman"/>
          <w:b/>
          <w:bCs/>
          <w:sz w:val="22"/>
          <w:szCs w:val="22"/>
        </w:rPr>
        <w:t>e). Consideraciones fiscales del ente: revelar el tipo de contribuciones que esté obligado a pagar o retener.</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Régimen Simplificado de Confianza e Ingresos por Arrendamiento de Bienes Inmuebles y en General por Otorgar el Uso o Goce Temporal de Bienes Inmuebles, respectivamente.</w:t>
      </w:r>
    </w:p>
    <w:p w:rsidR="00995380" w:rsidRPr="004F06F2" w:rsidRDefault="00995380" w:rsidP="00995380">
      <w:pPr>
        <w:spacing w:before="0" w:after="0"/>
        <w:ind w:left="709"/>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lastRenderedPageBreak/>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4F06F2">
        <w:t xml:space="preserve"> </w:t>
      </w:r>
      <w:r w:rsidRPr="004F06F2">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Igualmente, es sujeto de diversas contribuciones locales, tales como: el Impuesto Predial por aquellos inmuebles de dominio privado y el de Adquisición de Bienes Inmueble</w:t>
      </w:r>
      <w:r>
        <w:rPr>
          <w:rFonts w:eastAsia="Calibri" w:cs="Times New Roman"/>
          <w:sz w:val="22"/>
          <w:szCs w:val="22"/>
        </w:rPr>
        <w:t>s</w:t>
      </w:r>
      <w:r w:rsidRPr="004F06F2">
        <w:rPr>
          <w:rFonts w:eastAsia="Calibri" w:cs="Times New Roman"/>
          <w:sz w:val="22"/>
          <w:szCs w:val="22"/>
        </w:rPr>
        <w:t xml:space="preserve"> al realizar compras para su uso de dominio privado; y del Impuesto sobre Erogaciones por Remuneración al Trabajo Personal Prestado Bajo la Dirección y Dependencia de un Patrón, entre otros.</w:t>
      </w:r>
    </w:p>
    <w:p w:rsidR="00995380" w:rsidRPr="004F06F2" w:rsidRDefault="00995380" w:rsidP="00995380">
      <w:pPr>
        <w:spacing w:before="0" w:after="0"/>
        <w:ind w:firstLine="360"/>
        <w:rPr>
          <w:rFonts w:eastAsia="Calibri" w:cs="Times New Roman"/>
          <w:sz w:val="22"/>
          <w:szCs w:val="22"/>
        </w:rPr>
      </w:pPr>
    </w:p>
    <w:p w:rsidR="00995380" w:rsidRPr="004F06F2" w:rsidRDefault="00995380" w:rsidP="00995380">
      <w:pPr>
        <w:spacing w:before="0" w:after="0"/>
        <w:ind w:firstLine="360"/>
        <w:rPr>
          <w:rFonts w:eastAsia="Calibri" w:cs="Times New Roman"/>
          <w:b/>
          <w:bCs/>
          <w:sz w:val="22"/>
          <w:szCs w:val="22"/>
        </w:rPr>
      </w:pPr>
      <w:r w:rsidRPr="004F06F2">
        <w:rPr>
          <w:rFonts w:eastAsia="Calibri" w:cs="Times New Roman"/>
          <w:b/>
          <w:bCs/>
          <w:sz w:val="22"/>
          <w:szCs w:val="22"/>
        </w:rPr>
        <w:t>f) Estructura organizacional básica</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rsidR="00995380" w:rsidRPr="004F06F2" w:rsidRDefault="00995380" w:rsidP="00995380">
      <w:pPr>
        <w:spacing w:before="0" w:after="0"/>
        <w:rPr>
          <w:rFonts w:eastAsia="Calibri" w:cs="Times New Roman"/>
          <w:sz w:val="22"/>
          <w:szCs w:val="22"/>
        </w:rPr>
      </w:pPr>
    </w:p>
    <w:p w:rsidR="00995380" w:rsidRDefault="00995380" w:rsidP="00995380">
      <w:pPr>
        <w:spacing w:before="0" w:after="0"/>
        <w:rPr>
          <w:rFonts w:eastAsia="Calibri" w:cs="Times New Roman"/>
          <w:sz w:val="22"/>
          <w:szCs w:val="22"/>
        </w:rPr>
      </w:pPr>
      <w:r w:rsidRPr="004F06F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rsidR="00995380" w:rsidRDefault="00995380" w:rsidP="00995380">
      <w:pPr>
        <w:spacing w:before="0" w:after="0"/>
        <w:rPr>
          <w:rFonts w:eastAsia="Calibri" w:cs="Times New Roman"/>
          <w:sz w:val="22"/>
          <w:szCs w:val="22"/>
        </w:rPr>
      </w:pPr>
    </w:p>
    <w:p w:rsidR="00995380" w:rsidRPr="005D257C" w:rsidRDefault="00995380" w:rsidP="00995380">
      <w:pPr>
        <w:spacing w:before="0" w:after="0"/>
        <w:rPr>
          <w:rFonts w:eastAsia="Calibri" w:cs="Times New Roman"/>
          <w:sz w:val="22"/>
          <w:szCs w:val="22"/>
        </w:rPr>
      </w:pPr>
      <w:r>
        <w:rPr>
          <w:rFonts w:eastAsia="Calibri" w:cs="Times New Roman"/>
          <w:sz w:val="22"/>
          <w:szCs w:val="22"/>
        </w:rPr>
        <w:t xml:space="preserve">- </w:t>
      </w:r>
      <w:r w:rsidRPr="005D257C">
        <w:rPr>
          <w:rFonts w:eastAsia="Calibri" w:cs="Times New Roman"/>
          <w:sz w:val="22"/>
          <w:szCs w:val="22"/>
        </w:rPr>
        <w:t>Secretaría de Gobierno;</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Finanzas y Administración;</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lastRenderedPageBreak/>
        <w:t>- Secretaría de Comunicaciones y Obras Públicas;</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Agricultura y Desarrollo Rural;</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Desarrollo Económico;</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Turismo;</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Educación;</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del Migrante;</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Seguridad Pública;</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Contraloría;</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del Bienestar;</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Cultura;</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Secretariado Ejecutivo del Sistema Estatal de Seguridad Pública;</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Procuraduría de Protección al Ambiente del Estado de Michoacán de Ocampo;</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Tribunal de Conciliación y Arbitraje;</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Igualdad Sustantiva y Desarrollo de las Mujeres Michoacanas.</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xml:space="preserve">- Secretaría Ejecutiva del Sistema Estatal de protección Integral de Niñas,  </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xml:space="preserve">  Niños y Adolescentes de Michoacán;</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Coordinación del Sistema Penitenciario del estado de Michoacán de Ocampo;</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 Desarrollo Urbano y Movilidad;</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Secretaría del Medio Ambiente;</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Centro Estatal para el desarrollo Municipal;</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xml:space="preserve">- Servicio de Administración Tributaria del Estado de Michoacán; </w:t>
      </w:r>
      <w:r>
        <w:rPr>
          <w:rFonts w:eastAsia="Calibri" w:cs="Times New Roman"/>
          <w:sz w:val="22"/>
          <w:szCs w:val="22"/>
        </w:rPr>
        <w:t>e</w:t>
      </w:r>
      <w:r w:rsidRPr="005D257C">
        <w:rPr>
          <w:rFonts w:eastAsia="Calibri" w:cs="Times New Roman"/>
          <w:sz w:val="22"/>
          <w:szCs w:val="22"/>
        </w:rPr>
        <w:t>,</w:t>
      </w:r>
    </w:p>
    <w:p w:rsidR="00995380" w:rsidRPr="005D257C" w:rsidRDefault="00995380" w:rsidP="00995380">
      <w:pPr>
        <w:spacing w:before="0" w:after="0"/>
        <w:rPr>
          <w:rFonts w:eastAsia="Calibri" w:cs="Times New Roman"/>
          <w:sz w:val="22"/>
          <w:szCs w:val="22"/>
        </w:rPr>
      </w:pPr>
      <w:r w:rsidRPr="005D257C">
        <w:rPr>
          <w:rFonts w:eastAsia="Calibri" w:cs="Times New Roman"/>
          <w:sz w:val="22"/>
          <w:szCs w:val="22"/>
        </w:rPr>
        <w:t>- Instituto del Transporte del Estado de Michoacán de Ocampo.</w:t>
      </w:r>
    </w:p>
    <w:p w:rsidR="00995380"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Cada una de estas </w:t>
      </w:r>
      <w:r>
        <w:rPr>
          <w:rFonts w:eastAsia="Calibri" w:cs="Times New Roman"/>
          <w:sz w:val="22"/>
          <w:szCs w:val="22"/>
        </w:rPr>
        <w:t xml:space="preserve">Dependencias </w:t>
      </w:r>
      <w:r w:rsidRPr="004F06F2">
        <w:rPr>
          <w:rFonts w:eastAsia="Calibri" w:cs="Times New Roman"/>
          <w:sz w:val="22"/>
          <w:szCs w:val="22"/>
        </w:rPr>
        <w:t>está organizada de tal forma que permitan el correcto funcionamiento de la Administración Pública Estatal.</w:t>
      </w:r>
    </w:p>
    <w:p w:rsidR="00995380" w:rsidRPr="004F06F2" w:rsidRDefault="00995380" w:rsidP="00995380">
      <w:pPr>
        <w:spacing w:before="0" w:after="0"/>
        <w:ind w:firstLine="360"/>
        <w:rPr>
          <w:rFonts w:eastAsia="Calibri" w:cs="Times New Roman"/>
          <w:b/>
          <w:bCs/>
          <w:sz w:val="22"/>
          <w:szCs w:val="22"/>
        </w:rPr>
      </w:pPr>
    </w:p>
    <w:p w:rsidR="00995380" w:rsidRPr="004F06F2" w:rsidRDefault="00995380" w:rsidP="00995380">
      <w:pPr>
        <w:spacing w:before="0" w:after="0"/>
        <w:ind w:firstLine="360"/>
        <w:rPr>
          <w:rFonts w:eastAsia="Calibri" w:cs="Times New Roman"/>
          <w:b/>
          <w:bCs/>
          <w:sz w:val="22"/>
          <w:szCs w:val="22"/>
        </w:rPr>
      </w:pPr>
      <w:r w:rsidRPr="004F06F2">
        <w:rPr>
          <w:rFonts w:eastAsia="Calibri" w:cs="Times New Roman"/>
          <w:b/>
          <w:bCs/>
          <w:sz w:val="22"/>
          <w:szCs w:val="22"/>
        </w:rPr>
        <w:t>g) Fideicomisos, mandatos y análogos de los cuales es fideicomisario.</w:t>
      </w: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lastRenderedPageBreak/>
        <w:t>Los fideicomisos, mandatos y análogos de los cuales el Gobierno del Estado de Michoacán es fideicomisario, se detallan en el punto 6 de las Notas de desglose.</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4.</w:t>
      </w:r>
      <w:r w:rsidRPr="004F06F2">
        <w:rPr>
          <w:rFonts w:eastAsia="Calibri" w:cs="Times New Roman"/>
          <w:b/>
          <w:sz w:val="22"/>
          <w:szCs w:val="22"/>
        </w:rPr>
        <w:tab/>
        <w:t>Bases de Preparación de los Estados Financieros.</w:t>
      </w:r>
    </w:p>
    <w:p w:rsidR="00995380" w:rsidRPr="004F06F2" w:rsidRDefault="00995380" w:rsidP="00995380">
      <w:pPr>
        <w:spacing w:before="0" w:after="0"/>
        <w:rPr>
          <w:rFonts w:ascii="GalanoGrotesque-ExtraLight" w:eastAsia="Calibri" w:hAnsi="GalanoGrotesque-ExtraLight" w:cs="Times New Roman"/>
          <w:b/>
          <w:sz w:val="22"/>
          <w:szCs w:val="22"/>
        </w:rPr>
      </w:pPr>
    </w:p>
    <w:p w:rsidR="00995380" w:rsidRPr="004F06F2" w:rsidRDefault="00995380" w:rsidP="00995380">
      <w:pPr>
        <w:spacing w:before="0" w:after="0"/>
        <w:ind w:left="720"/>
        <w:rPr>
          <w:rFonts w:eastAsia="Calibri" w:cs="Times New Roman"/>
          <w:b/>
          <w:sz w:val="22"/>
          <w:szCs w:val="22"/>
        </w:rPr>
      </w:pPr>
      <w:r w:rsidRPr="004F06F2">
        <w:rPr>
          <w:rFonts w:eastAsia="Calibri" w:cs="Times New Roman"/>
          <w:b/>
          <w:sz w:val="22"/>
          <w:szCs w:val="22"/>
        </w:rPr>
        <w:t>a) Si se ha observado la normatividad emitida por el CONAC y las disposiciones legales aplicables.</w:t>
      </w: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4F06F2">
        <w:rPr>
          <w:rFonts w:eastAsia="Calibri" w:cs="Times New Roman"/>
          <w:color w:val="C00000"/>
          <w:sz w:val="22"/>
          <w:szCs w:val="22"/>
        </w:rPr>
        <w:t xml:space="preserve"> </w:t>
      </w:r>
      <w:r w:rsidRPr="004F06F2">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rsidR="00995380" w:rsidRPr="004F06F2" w:rsidRDefault="00995380" w:rsidP="00995380">
      <w:pPr>
        <w:spacing w:before="0" w:after="0"/>
        <w:rPr>
          <w:rFonts w:eastAsia="Calibri" w:cs="Times New Roman"/>
          <w:sz w:val="22"/>
          <w:szCs w:val="22"/>
        </w:rPr>
      </w:pP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val="en-US" w:eastAsia="es-MX"/>
        </w:rPr>
        <w:t>Marco Conceptual</w:t>
      </w: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 xml:space="preserve">Postulados Básicos de </w:t>
      </w:r>
      <w:proofErr w:type="spellStart"/>
      <w:r w:rsidRPr="004F06F2">
        <w:rPr>
          <w:rFonts w:eastAsia="Times New Roman" w:cs="Times New Roman"/>
          <w:sz w:val="22"/>
          <w:szCs w:val="22"/>
          <w:lang w:val="en-US" w:eastAsia="es-MX"/>
        </w:rPr>
        <w:t>Contabilidad</w:t>
      </w:r>
      <w:proofErr w:type="spellEnd"/>
      <w:r w:rsidRPr="004F06F2">
        <w:rPr>
          <w:rFonts w:eastAsia="Times New Roman" w:cs="Times New Roman"/>
          <w:sz w:val="22"/>
          <w:szCs w:val="22"/>
          <w:lang w:eastAsia="es-MX"/>
        </w:rPr>
        <w:t xml:space="preserve"> Gubernamental</w:t>
      </w: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4F06F2">
        <w:rPr>
          <w:rFonts w:eastAsia="Times New Roman" w:cs="Times New Roman"/>
          <w:sz w:val="22"/>
          <w:szCs w:val="22"/>
          <w:lang w:val="en-US" w:eastAsia="es-MX"/>
        </w:rPr>
        <w:t>Clasificador</w:t>
      </w:r>
      <w:proofErr w:type="spellEnd"/>
      <w:r w:rsidRPr="004F06F2">
        <w:rPr>
          <w:rFonts w:eastAsia="Times New Roman" w:cs="Times New Roman"/>
          <w:sz w:val="22"/>
          <w:szCs w:val="22"/>
          <w:lang w:eastAsia="es-MX"/>
        </w:rPr>
        <w:t xml:space="preserve"> por Objeto del Gasto</w:t>
      </w: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Tipo de Gasto</w:t>
      </w: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Rubros de Ingresos</w:t>
      </w: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Plan de</w:t>
      </w:r>
      <w:r w:rsidRPr="004F06F2">
        <w:rPr>
          <w:rFonts w:eastAsia="Times New Roman" w:cs="Times New Roman"/>
          <w:sz w:val="22"/>
          <w:szCs w:val="22"/>
          <w:lang w:eastAsia="es-MX"/>
        </w:rPr>
        <w:t xml:space="preserve"> Cuentas</w:t>
      </w:r>
      <w:r w:rsidRPr="004F06F2">
        <w:rPr>
          <w:rFonts w:eastAsia="Times New Roman" w:cs="Times New Roman"/>
          <w:sz w:val="22"/>
          <w:szCs w:val="22"/>
          <w:lang w:val="en-US" w:eastAsia="es-MX"/>
        </w:rPr>
        <w:t xml:space="preserve"> de </w:t>
      </w:r>
      <w:r w:rsidRPr="004F06F2">
        <w:rPr>
          <w:rFonts w:eastAsia="Times New Roman" w:cs="Times New Roman"/>
          <w:sz w:val="22"/>
          <w:szCs w:val="22"/>
          <w:lang w:eastAsia="es-MX"/>
        </w:rPr>
        <w:t>Contabilidad</w:t>
      </w: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Momentos Contables de los Egresos</w:t>
      </w:r>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4F06F2">
        <w:rPr>
          <w:rFonts w:eastAsia="Times New Roman" w:cs="Times New Roman"/>
          <w:sz w:val="22"/>
          <w:szCs w:val="22"/>
          <w:lang w:val="en-US" w:eastAsia="es-MX"/>
        </w:rPr>
        <w:t>Momentos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Contables</w:t>
      </w:r>
      <w:proofErr w:type="spellEnd"/>
      <w:r w:rsidRPr="004F06F2">
        <w:rPr>
          <w:rFonts w:eastAsia="Times New Roman" w:cs="Times New Roman"/>
          <w:sz w:val="22"/>
          <w:szCs w:val="22"/>
          <w:lang w:val="en-US" w:eastAsia="es-MX"/>
        </w:rPr>
        <w:t xml:space="preserve"> de </w:t>
      </w:r>
      <w:proofErr w:type="spellStart"/>
      <w:r w:rsidRPr="004F06F2">
        <w:rPr>
          <w:rFonts w:eastAsia="Times New Roman" w:cs="Times New Roman"/>
          <w:sz w:val="22"/>
          <w:szCs w:val="22"/>
          <w:lang w:val="en-US" w:eastAsia="es-MX"/>
        </w:rPr>
        <w:t>los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Ingresos</w:t>
      </w:r>
      <w:proofErr w:type="spellEnd"/>
    </w:p>
    <w:p w:rsidR="00995380" w:rsidRPr="004F06F2" w:rsidRDefault="00995380" w:rsidP="00995380">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 xml:space="preserve">Manual de </w:t>
      </w:r>
      <w:proofErr w:type="spellStart"/>
      <w:r w:rsidRPr="004F06F2">
        <w:rPr>
          <w:rFonts w:eastAsia="Times New Roman" w:cs="Times New Roman"/>
          <w:sz w:val="22"/>
          <w:szCs w:val="22"/>
          <w:lang w:val="en-US" w:eastAsia="es-MX"/>
        </w:rPr>
        <w:t>Contabilidad</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Gubernamental</w:t>
      </w:r>
      <w:proofErr w:type="spellEnd"/>
    </w:p>
    <w:p w:rsidR="00995380" w:rsidRPr="004F06F2" w:rsidRDefault="00995380" w:rsidP="00995380">
      <w:pPr>
        <w:widowControl w:val="0"/>
        <w:kinsoku w:val="0"/>
        <w:spacing w:before="0" w:after="0"/>
        <w:contextualSpacing/>
        <w:jc w:val="left"/>
        <w:rPr>
          <w:rFonts w:eastAsia="Times New Roman" w:cs="Times New Roman"/>
          <w:sz w:val="22"/>
          <w:szCs w:val="22"/>
          <w:lang w:val="en-US" w:eastAsia="es-MX"/>
        </w:rPr>
      </w:pPr>
    </w:p>
    <w:p w:rsidR="00995380" w:rsidRPr="004F06F2" w:rsidRDefault="00995380" w:rsidP="00995380">
      <w:pPr>
        <w:tabs>
          <w:tab w:val="left" w:pos="709"/>
        </w:tabs>
        <w:spacing w:before="0" w:after="0"/>
        <w:rPr>
          <w:rFonts w:eastAsia="Calibri" w:cs="Times New Roman"/>
          <w:sz w:val="22"/>
          <w:szCs w:val="22"/>
        </w:rPr>
      </w:pPr>
      <w:r w:rsidRPr="004F06F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Ley General de Contabilidad Gubernamental y las normas y lineamientos emitidos por el Consejo </w:t>
      </w:r>
      <w:r w:rsidRPr="004F06F2">
        <w:rPr>
          <w:rFonts w:eastAsia="Calibri" w:cs="Times New Roman"/>
          <w:sz w:val="22"/>
          <w:szCs w:val="22"/>
        </w:rPr>
        <w:lastRenderedPageBreak/>
        <w:t xml:space="preserve">Nacional de Armonización Contable, con los informes que determine la Auditoría Superior de Michoacán en coordinación con la Secretaría y las Tesorerías Municipales correspondientes. </w:t>
      </w:r>
    </w:p>
    <w:p w:rsidR="00995380" w:rsidRPr="004F06F2" w:rsidRDefault="00995380" w:rsidP="00995380">
      <w:pPr>
        <w:tabs>
          <w:tab w:val="left" w:pos="709"/>
        </w:tabs>
        <w:spacing w:before="0" w:after="0"/>
        <w:rPr>
          <w:rFonts w:eastAsia="Calibri" w:cs="Times New Roman"/>
          <w:sz w:val="22"/>
          <w:szCs w:val="22"/>
        </w:rPr>
      </w:pPr>
    </w:p>
    <w:p w:rsidR="00995380" w:rsidRPr="004F06F2" w:rsidRDefault="00995380" w:rsidP="00995380">
      <w:pPr>
        <w:tabs>
          <w:tab w:val="left" w:pos="709"/>
        </w:tabs>
        <w:spacing w:before="0" w:after="0"/>
        <w:rPr>
          <w:rFonts w:eastAsia="Calibri" w:cs="Times New Roman"/>
          <w:sz w:val="22"/>
          <w:szCs w:val="22"/>
        </w:rPr>
      </w:pPr>
      <w:r w:rsidRPr="004F06F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ind w:left="720"/>
        <w:rPr>
          <w:rFonts w:eastAsia="Calibri" w:cs="Times New Roman"/>
          <w:b/>
          <w:sz w:val="22"/>
          <w:szCs w:val="22"/>
        </w:rPr>
      </w:pPr>
      <w:r w:rsidRPr="004F06F2">
        <w:rPr>
          <w:rFonts w:eastAsia="Calibri" w:cs="Times New Roman"/>
          <w:b/>
          <w:sz w:val="22"/>
          <w:szCs w:val="22"/>
        </w:rPr>
        <w:t>b)  Normatividad.</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Pr>
          <w:rFonts w:eastAsia="Calibri" w:cs="Times New Roman"/>
          <w:sz w:val="22"/>
          <w:szCs w:val="22"/>
        </w:rPr>
        <w:t>5</w:t>
      </w:r>
      <w:r w:rsidRPr="004F06F2">
        <w:rPr>
          <w:rFonts w:eastAsia="Calibri" w:cs="Times New Roman"/>
          <w:sz w:val="22"/>
          <w:szCs w:val="22"/>
        </w:rPr>
        <w:t xml:space="preserve"> y las demás disposiciones normativas y jurídicas vigentes para el Estado de Michoacán de Ocampo.</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w:t>
      </w:r>
      <w:r w:rsidRPr="004F06F2">
        <w:rPr>
          <w:rFonts w:eastAsia="Calibri" w:cs="Times New Roman"/>
          <w:sz w:val="22"/>
          <w:szCs w:val="22"/>
        </w:rPr>
        <w:lastRenderedPageBreak/>
        <w:t>transparencia, así como la comparación de la información financiera presentada.</w:t>
      </w:r>
    </w:p>
    <w:p w:rsidR="00995380" w:rsidRPr="004F06F2" w:rsidRDefault="00995380" w:rsidP="00995380">
      <w:pPr>
        <w:spacing w:before="0" w:after="0"/>
        <w:ind w:left="709"/>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Para el </w:t>
      </w:r>
      <w:r>
        <w:rPr>
          <w:rFonts w:eastAsia="Calibri" w:cs="Times New Roman"/>
          <w:sz w:val="22"/>
          <w:szCs w:val="22"/>
        </w:rPr>
        <w:t xml:space="preserve">periodo que se informa de este año de </w:t>
      </w:r>
      <w:r w:rsidRPr="004F06F2">
        <w:rPr>
          <w:rFonts w:eastAsia="Calibri" w:cs="Times New Roman"/>
          <w:sz w:val="22"/>
          <w:szCs w:val="22"/>
        </w:rPr>
        <w:t>202</w:t>
      </w:r>
      <w:r>
        <w:rPr>
          <w:rFonts w:eastAsia="Calibri" w:cs="Times New Roman"/>
          <w:sz w:val="22"/>
          <w:szCs w:val="22"/>
        </w:rPr>
        <w:t>5</w:t>
      </w:r>
      <w:r w:rsidRPr="004F06F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Pr>
          <w:rFonts w:eastAsia="Calibri" w:cs="Times New Roman"/>
          <w:sz w:val="22"/>
          <w:szCs w:val="22"/>
        </w:rPr>
        <w:t>5</w:t>
      </w:r>
      <w:r w:rsidRPr="004F06F2">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Pr>
          <w:rFonts w:eastAsia="Calibri" w:cs="Times New Roman"/>
          <w:sz w:val="22"/>
          <w:szCs w:val="22"/>
        </w:rPr>
        <w:t>y</w:t>
      </w:r>
      <w:r w:rsidRPr="004F06F2">
        <w:rPr>
          <w:rFonts w:eastAsia="Calibri" w:cs="Times New Roman"/>
          <w:sz w:val="22"/>
          <w:szCs w:val="22"/>
        </w:rPr>
        <w:t xml:space="preserve"> Contabilidad Gubernamental </w:t>
      </w:r>
      <w:r>
        <w:rPr>
          <w:rFonts w:eastAsia="Calibri" w:cs="Times New Roman"/>
          <w:sz w:val="22"/>
          <w:szCs w:val="22"/>
        </w:rPr>
        <w:t>d</w:t>
      </w:r>
      <w:r w:rsidRPr="004F06F2">
        <w:rPr>
          <w:rFonts w:eastAsia="Calibri" w:cs="Times New Roman"/>
          <w:sz w:val="22"/>
          <w:szCs w:val="22"/>
        </w:rPr>
        <w:t xml:space="preserve">el Estado De Michoacán, se muestran los estados analíticos sobre deuda pública, los cuales tienen como finalidad realizar </w:t>
      </w:r>
      <w:r w:rsidRPr="004F06F2">
        <w:rPr>
          <w:rFonts w:eastAsia="Calibri" w:cs="Times New Roman"/>
          <w:sz w:val="22"/>
          <w:szCs w:val="22"/>
        </w:rPr>
        <w:lastRenderedPageBreak/>
        <w:t>periódicamente el seguimiento del ejercicio de los egresos presupuestarios.</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ind w:left="720"/>
        <w:rPr>
          <w:rFonts w:eastAsia="Calibri" w:cs="Times New Roman"/>
          <w:b/>
          <w:sz w:val="22"/>
          <w:szCs w:val="22"/>
        </w:rPr>
      </w:pPr>
      <w:proofErr w:type="gramStart"/>
      <w:r w:rsidRPr="004F06F2">
        <w:rPr>
          <w:rFonts w:eastAsia="Calibri" w:cs="Times New Roman"/>
          <w:b/>
          <w:sz w:val="22"/>
          <w:szCs w:val="22"/>
        </w:rPr>
        <w:t>c)</w:t>
      </w:r>
      <w:proofErr w:type="gramEnd"/>
      <w:r w:rsidRPr="004F06F2">
        <w:rPr>
          <w:rFonts w:eastAsia="Calibri" w:cs="Times New Roman"/>
          <w:b/>
          <w:sz w:val="22"/>
          <w:szCs w:val="22"/>
        </w:rPr>
        <w:t>. Postulados básicos de Contabilidad Gubernamental.</w:t>
      </w:r>
    </w:p>
    <w:p w:rsidR="00995380" w:rsidRPr="004F06F2" w:rsidRDefault="00995380" w:rsidP="00995380">
      <w:pPr>
        <w:spacing w:before="0" w:after="0"/>
        <w:rPr>
          <w:rFonts w:eastAsia="Calibri" w:cs="Times New Roman"/>
          <w:sz w:val="22"/>
          <w:szCs w:val="22"/>
        </w:rPr>
      </w:pPr>
    </w:p>
    <w:p w:rsidR="00995380" w:rsidRDefault="00995380" w:rsidP="00995380">
      <w:pPr>
        <w:spacing w:before="0" w:after="0"/>
        <w:rPr>
          <w:rFonts w:eastAsia="Calibri" w:cs="Times New Roman"/>
          <w:sz w:val="22"/>
          <w:szCs w:val="22"/>
        </w:rPr>
      </w:pPr>
      <w:r w:rsidRPr="004F06F2">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ind w:left="720"/>
        <w:rPr>
          <w:rFonts w:eastAsia="Calibri" w:cs="Times New Roman"/>
          <w:b/>
          <w:sz w:val="22"/>
          <w:szCs w:val="22"/>
        </w:rPr>
      </w:pPr>
      <w:r w:rsidRPr="004F06F2">
        <w:rPr>
          <w:rFonts w:eastAsia="Calibri" w:cs="Times New Roman"/>
          <w:b/>
          <w:sz w:val="22"/>
          <w:szCs w:val="22"/>
        </w:rPr>
        <w:t>d) Normatividad Supletoria</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No se aplica normatividad de manera supletoria para la elaboración de los Estados Financieros.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ind w:left="720"/>
        <w:rPr>
          <w:rFonts w:eastAsia="Calibri" w:cs="Times New Roman"/>
          <w:b/>
          <w:sz w:val="22"/>
          <w:szCs w:val="22"/>
        </w:rPr>
      </w:pPr>
      <w:r w:rsidRPr="004F06F2">
        <w:rPr>
          <w:rFonts w:eastAsia="Calibri" w:cs="Times New Roman"/>
          <w:b/>
          <w:sz w:val="22"/>
          <w:szCs w:val="22"/>
        </w:rPr>
        <w:t>e) Entidades que por primera vez apliquen la base del devengado</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Este punto no aplica para el Gobierno del Estado de Michoacán.</w:t>
      </w:r>
    </w:p>
    <w:p w:rsidR="00995380"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b/>
          <w:bCs/>
          <w:sz w:val="22"/>
          <w:szCs w:val="22"/>
        </w:rPr>
      </w:pPr>
      <w:r w:rsidRPr="004F06F2">
        <w:rPr>
          <w:rFonts w:eastAsia="Calibri" w:cs="Times New Roman"/>
          <w:b/>
          <w:bCs/>
          <w:sz w:val="22"/>
          <w:szCs w:val="22"/>
        </w:rPr>
        <w:t>5.- Políticas de Contabilidad Significativas.</w:t>
      </w:r>
    </w:p>
    <w:p w:rsidR="00995380" w:rsidRPr="00DF55A1" w:rsidRDefault="00995380" w:rsidP="00995380">
      <w:pPr>
        <w:spacing w:before="0" w:after="0"/>
        <w:ind w:left="720"/>
        <w:rPr>
          <w:rFonts w:eastAsia="Calibri" w:cs="Times New Roman"/>
          <w:b/>
          <w:sz w:val="22"/>
          <w:szCs w:val="22"/>
        </w:rPr>
      </w:pPr>
      <w:r w:rsidRPr="00DF55A1">
        <w:rPr>
          <w:rFonts w:eastAsia="Calibri" w:cs="Times New Roman"/>
          <w:b/>
          <w:sz w:val="22"/>
          <w:szCs w:val="22"/>
        </w:rPr>
        <w:t>a) Actualización:</w:t>
      </w:r>
    </w:p>
    <w:p w:rsidR="00995380" w:rsidRDefault="00995380" w:rsidP="00995380">
      <w:pPr>
        <w:rPr>
          <w:sz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Activos.</w:t>
      </w: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 xml:space="preserve">Con el  propósito de dar cumplimiento a los Artículos 46, 47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w:t>
      </w:r>
      <w:r w:rsidRPr="00DF55A1">
        <w:rPr>
          <w:rFonts w:eastAsia="Calibri" w:cs="Times New Roman"/>
          <w:bCs/>
          <w:sz w:val="22"/>
          <w:szCs w:val="22"/>
        </w:rPr>
        <w:lastRenderedPageBreak/>
        <w:t>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w:t>
      </w:r>
      <w:r>
        <w:rPr>
          <w:rFonts w:eastAsia="Calibri" w:cs="Times New Roman"/>
          <w:bCs/>
          <w:sz w:val="22"/>
          <w:szCs w:val="22"/>
        </w:rPr>
        <w:t>.</w:t>
      </w:r>
    </w:p>
    <w:p w:rsidR="00995380" w:rsidRPr="00DF55A1" w:rsidRDefault="00995380" w:rsidP="00995380">
      <w:pPr>
        <w:spacing w:before="0" w:after="0"/>
        <w:rPr>
          <w:rFonts w:eastAsia="Calibri" w:cs="Times New Roman"/>
          <w:b/>
          <w:bCs/>
          <w:sz w:val="22"/>
          <w:szCs w:val="22"/>
        </w:rPr>
      </w:pPr>
    </w:p>
    <w:p w:rsidR="00995380" w:rsidRPr="00DF55A1" w:rsidRDefault="00995380" w:rsidP="00995380">
      <w:pPr>
        <w:spacing w:before="0" w:after="0"/>
        <w:rPr>
          <w:rFonts w:eastAsia="Calibri" w:cs="Times New Roman"/>
          <w:b/>
          <w:bCs/>
          <w:sz w:val="22"/>
          <w:szCs w:val="22"/>
        </w:rPr>
      </w:pPr>
      <w:r w:rsidRPr="00DF55A1">
        <w:rPr>
          <w:rFonts w:eastAsia="Calibri" w:cs="Times New Roman"/>
          <w:b/>
          <w:bCs/>
          <w:sz w:val="22"/>
          <w:szCs w:val="22"/>
        </w:rPr>
        <w:t>Pasivos:</w:t>
      </w: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 xml:space="preserve">El Método utilizado para la Actualización del Valor de los Pasivos es el de Valor Nominal, el cual mantiene el valor original de los pasivos adquiridos. </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En la Actualización de la Hacienda Pública se utiliza el Valor de Adquisición en el cual se registra el valor original de los activos y pasivos al momento de su adquisición.</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Se utilizan estos métodos de actualización de los valores de activos, pasivos y Hacienda Pública/Patrimonio, por ser un método simple y directo, lo cual facilita el registro contable y proporciona una base clara y verificable para la valoración.</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Durante el período contable, la entidad evaluó el entorno económico y determinó que no se requiere la reconexión inflacionaria, ya que la inflación acumulada de los últimos tres ejercicios no ha superado el 26%. Por lo tanto, los efectos de la inflación no han sido reconocidos en los estados financieros.</w:t>
      </w:r>
    </w:p>
    <w:p w:rsidR="00995380" w:rsidRPr="00DF55A1" w:rsidRDefault="00995380" w:rsidP="00995380">
      <w:pPr>
        <w:spacing w:before="0" w:after="0"/>
        <w:rPr>
          <w:rFonts w:eastAsia="Calibri" w:cs="Times New Roman"/>
          <w:bCs/>
          <w:color w:val="FF0000"/>
          <w:sz w:val="22"/>
          <w:szCs w:val="22"/>
        </w:rPr>
      </w:pPr>
    </w:p>
    <w:p w:rsidR="00995380" w:rsidRPr="00DF55A1" w:rsidRDefault="00995380" w:rsidP="00995380">
      <w:pPr>
        <w:spacing w:before="0" w:after="0"/>
        <w:ind w:left="720"/>
        <w:rPr>
          <w:rFonts w:eastAsia="Calibri" w:cs="Times New Roman"/>
          <w:b/>
          <w:sz w:val="22"/>
          <w:szCs w:val="22"/>
        </w:rPr>
      </w:pPr>
      <w:r w:rsidRPr="00DF55A1">
        <w:rPr>
          <w:rFonts w:eastAsia="Calibri" w:cs="Times New Roman"/>
          <w:b/>
          <w:sz w:val="22"/>
          <w:szCs w:val="22"/>
        </w:rPr>
        <w:t>b) Informar sobre la realización de operaciones en el extranjero y de sus efectos en la información financiera gubernamental.</w:t>
      </w:r>
    </w:p>
    <w:p w:rsidR="00995380" w:rsidRPr="00DF55A1" w:rsidRDefault="00995380" w:rsidP="00995380">
      <w:pPr>
        <w:spacing w:before="0" w:after="0"/>
        <w:ind w:left="720"/>
        <w:rPr>
          <w:rFonts w:eastAsia="Calibri" w:cs="Times New Roman"/>
          <w:b/>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El Gobierno del Estado de Michoacán no realiza operaciones en el extranjero.</w:t>
      </w:r>
    </w:p>
    <w:p w:rsidR="00995380" w:rsidRPr="00DF55A1" w:rsidRDefault="00995380" w:rsidP="00995380">
      <w:pPr>
        <w:spacing w:before="0" w:after="0"/>
        <w:ind w:left="720"/>
        <w:rPr>
          <w:rFonts w:eastAsia="Calibri" w:cs="Times New Roman"/>
          <w:b/>
          <w:sz w:val="22"/>
          <w:szCs w:val="22"/>
        </w:rPr>
      </w:pPr>
    </w:p>
    <w:p w:rsidR="00995380" w:rsidRPr="00DF55A1" w:rsidRDefault="00995380" w:rsidP="00995380">
      <w:pPr>
        <w:spacing w:before="0" w:after="0"/>
        <w:ind w:left="720"/>
        <w:rPr>
          <w:rFonts w:eastAsia="Calibri" w:cs="Times New Roman"/>
          <w:b/>
          <w:sz w:val="22"/>
          <w:szCs w:val="22"/>
        </w:rPr>
      </w:pPr>
      <w:r w:rsidRPr="00DF55A1">
        <w:rPr>
          <w:rFonts w:eastAsia="Calibri" w:cs="Times New Roman"/>
          <w:b/>
          <w:sz w:val="22"/>
          <w:szCs w:val="22"/>
        </w:rPr>
        <w:t>c) Método de valuación en acciones de Compañías subsidiarias no consolidadas.</w:t>
      </w: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El Gobierno del Estado de Michoacán no cuenta con acciones en compañías subsidiarias no consolidadas.</w:t>
      </w:r>
    </w:p>
    <w:p w:rsidR="00995380" w:rsidRPr="00DF55A1" w:rsidRDefault="00995380" w:rsidP="00995380">
      <w:pPr>
        <w:spacing w:before="0" w:after="0"/>
        <w:ind w:left="720"/>
        <w:rPr>
          <w:rFonts w:eastAsia="Calibri" w:cs="Times New Roman"/>
          <w:b/>
          <w:sz w:val="22"/>
          <w:szCs w:val="22"/>
        </w:rPr>
      </w:pPr>
    </w:p>
    <w:p w:rsidR="00995380" w:rsidRPr="00DF55A1" w:rsidRDefault="00995380" w:rsidP="00995380">
      <w:pPr>
        <w:spacing w:before="0" w:after="0"/>
        <w:ind w:left="720"/>
        <w:rPr>
          <w:rFonts w:eastAsia="Calibri" w:cs="Times New Roman"/>
          <w:b/>
          <w:sz w:val="22"/>
          <w:szCs w:val="22"/>
        </w:rPr>
      </w:pPr>
      <w:r w:rsidRPr="00DF55A1">
        <w:rPr>
          <w:rFonts w:eastAsia="Calibri" w:cs="Times New Roman"/>
          <w:b/>
          <w:sz w:val="22"/>
          <w:szCs w:val="22"/>
        </w:rPr>
        <w:t>d) Sistema y método de valuación de inventarios y costo de lo vendido.</w:t>
      </w:r>
    </w:p>
    <w:p w:rsidR="00995380" w:rsidRPr="00DF55A1" w:rsidRDefault="00995380" w:rsidP="00995380">
      <w:pPr>
        <w:spacing w:before="0" w:after="0"/>
        <w:rPr>
          <w:rFonts w:eastAsia="Calibri" w:cs="Times New Roman"/>
          <w:bCs/>
          <w:color w:val="FF0000"/>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El Gobierno del Estado de Michoacán no realiza ventas, como parte de su actividad principal, por lo que el inventario corresponde a los artículos que se tienen para consumo como papelería, artículos de limpieza, herramientas menores, entre otros.</w:t>
      </w:r>
    </w:p>
    <w:p w:rsidR="00995380" w:rsidRDefault="00995380" w:rsidP="00995380">
      <w:pPr>
        <w:spacing w:before="0" w:after="0"/>
        <w:rPr>
          <w:rFonts w:eastAsia="Calibri" w:cs="Times New Roman"/>
          <w:sz w:val="22"/>
          <w:szCs w:val="22"/>
        </w:rPr>
      </w:pPr>
    </w:p>
    <w:p w:rsidR="00995380" w:rsidRDefault="00995380" w:rsidP="00995380">
      <w:pPr>
        <w:spacing w:before="0" w:after="0"/>
        <w:rPr>
          <w:rFonts w:eastAsia="Calibri" w:cs="Times New Roman"/>
          <w:sz w:val="22"/>
          <w:szCs w:val="22"/>
        </w:rPr>
      </w:pPr>
    </w:p>
    <w:p w:rsidR="00995380" w:rsidRPr="00DF55A1" w:rsidRDefault="00995380" w:rsidP="00995380">
      <w:pPr>
        <w:spacing w:before="0" w:after="0"/>
        <w:rPr>
          <w:rFonts w:eastAsia="Calibri" w:cs="Times New Roman"/>
          <w:sz w:val="22"/>
          <w:szCs w:val="22"/>
        </w:rPr>
      </w:pPr>
    </w:p>
    <w:p w:rsidR="00995380" w:rsidRPr="00DF55A1" w:rsidRDefault="00995380" w:rsidP="00995380">
      <w:pPr>
        <w:spacing w:before="0" w:after="0"/>
        <w:ind w:left="720"/>
        <w:rPr>
          <w:rFonts w:eastAsia="Calibri" w:cs="Times New Roman"/>
          <w:b/>
          <w:bCs/>
          <w:sz w:val="22"/>
          <w:szCs w:val="22"/>
        </w:rPr>
      </w:pPr>
      <w:r w:rsidRPr="00DF55A1">
        <w:rPr>
          <w:rFonts w:eastAsia="Calibri" w:cs="Times New Roman"/>
          <w:b/>
          <w:bCs/>
          <w:sz w:val="22"/>
          <w:szCs w:val="22"/>
        </w:rPr>
        <w:t>e) Beneficios a empleados: revelar el cálculo de la reserva actuarial, valor presente de los ingresos esperados comparado con el valor presente de la estimación de gastos tanto de los beneficiarios actuales como futuros.</w:t>
      </w: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El Gobierno del Estado de Michoacán cuenta con el último Estudio Actuarial, del cual se desprenden la siguiente información:</w:t>
      </w:r>
    </w:p>
    <w:p w:rsidR="00995380" w:rsidRPr="00DF55A1" w:rsidRDefault="00995380" w:rsidP="00995380">
      <w:pPr>
        <w:spacing w:before="0" w:after="0"/>
        <w:rPr>
          <w:rFonts w:eastAsia="Calibri" w:cs="Times New Roman"/>
          <w:bCs/>
          <w:sz w:val="22"/>
          <w:szCs w:val="22"/>
        </w:rPr>
      </w:pPr>
    </w:p>
    <w:tbl>
      <w:tblPr>
        <w:tblStyle w:val="Tablaconcuadrcula4"/>
        <w:tblW w:w="7006" w:type="dxa"/>
        <w:jc w:val="center"/>
        <w:tblLook w:val="04A0" w:firstRow="1" w:lastRow="0" w:firstColumn="1" w:lastColumn="0" w:noHBand="0" w:noVBand="1"/>
      </w:tblPr>
      <w:tblGrid>
        <w:gridCol w:w="4773"/>
        <w:gridCol w:w="2233"/>
      </w:tblGrid>
      <w:tr w:rsidR="00995380" w:rsidRPr="00DF55A1" w:rsidTr="000858E1">
        <w:trPr>
          <w:jc w:val="center"/>
        </w:trPr>
        <w:tc>
          <w:tcPr>
            <w:tcW w:w="4996" w:type="dxa"/>
          </w:tcPr>
          <w:p w:rsidR="00995380" w:rsidRPr="00DF55A1" w:rsidRDefault="00995380" w:rsidP="000858E1">
            <w:pPr>
              <w:rPr>
                <w:rFonts w:eastAsia="Calibri" w:cs="Times New Roman"/>
                <w:b/>
              </w:rPr>
            </w:pPr>
            <w:r w:rsidRPr="00DF55A1">
              <w:rPr>
                <w:rFonts w:eastAsia="Calibri" w:cs="Times New Roman"/>
                <w:b/>
              </w:rPr>
              <w:lastRenderedPageBreak/>
              <w:t>Monto de la Reserva</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11,564,526,545</w:t>
            </w:r>
          </w:p>
        </w:tc>
      </w:tr>
      <w:tr w:rsidR="00995380" w:rsidRPr="00DF55A1" w:rsidTr="000858E1">
        <w:trPr>
          <w:jc w:val="center"/>
        </w:trPr>
        <w:tc>
          <w:tcPr>
            <w:tcW w:w="7006" w:type="dxa"/>
            <w:gridSpan w:val="2"/>
          </w:tcPr>
          <w:p w:rsidR="00995380" w:rsidRPr="00DF55A1" w:rsidRDefault="00995380" w:rsidP="000858E1">
            <w:pPr>
              <w:rPr>
                <w:rFonts w:eastAsia="Calibri" w:cs="Times New Roman"/>
                <w:bCs/>
              </w:rPr>
            </w:pPr>
            <w:r w:rsidRPr="00DF55A1">
              <w:rPr>
                <w:rFonts w:eastAsia="Calibri" w:cs="Times New Roman"/>
                <w:b/>
              </w:rPr>
              <w:t xml:space="preserve">Valor presente de las obligaciones </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 xml:space="preserve">Pensiones y Jubilaciones en curso de pago </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26,535,358,414</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Generación actual</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95,604,016,945</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Generaciones futuras</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64,095,294,340</w:t>
            </w:r>
          </w:p>
        </w:tc>
      </w:tr>
      <w:tr w:rsidR="00995380" w:rsidRPr="00DF55A1" w:rsidTr="000858E1">
        <w:trPr>
          <w:jc w:val="center"/>
        </w:trPr>
        <w:tc>
          <w:tcPr>
            <w:tcW w:w="7006" w:type="dxa"/>
            <w:gridSpan w:val="2"/>
          </w:tcPr>
          <w:p w:rsidR="00995380" w:rsidRPr="00DF55A1" w:rsidRDefault="00995380" w:rsidP="000858E1">
            <w:pPr>
              <w:rPr>
                <w:rFonts w:eastAsia="Calibri" w:cs="Times New Roman"/>
                <w:bCs/>
              </w:rPr>
            </w:pPr>
            <w:r w:rsidRPr="00DF55A1">
              <w:rPr>
                <w:rFonts w:eastAsia="Calibri" w:cs="Times New Roman"/>
                <w:b/>
              </w:rPr>
              <w:t>Valor presente de aportaciones futuras</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Generación actual</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24,000,495,520</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 xml:space="preserve">Generaciones Futuras </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50,225,154,657</w:t>
            </w:r>
          </w:p>
        </w:tc>
      </w:tr>
      <w:tr w:rsidR="00995380" w:rsidRPr="00DF55A1" w:rsidTr="000858E1">
        <w:trPr>
          <w:jc w:val="center"/>
        </w:trPr>
        <w:tc>
          <w:tcPr>
            <w:tcW w:w="7006" w:type="dxa"/>
            <w:gridSpan w:val="2"/>
          </w:tcPr>
          <w:p w:rsidR="00995380" w:rsidRPr="00DF55A1" w:rsidRDefault="00995380" w:rsidP="000858E1">
            <w:pPr>
              <w:rPr>
                <w:rFonts w:eastAsia="Calibri" w:cs="Times New Roman"/>
                <w:bCs/>
              </w:rPr>
            </w:pPr>
            <w:r w:rsidRPr="00DF55A1">
              <w:rPr>
                <w:rFonts w:eastAsia="Calibri" w:cs="Times New Roman"/>
                <w:b/>
              </w:rPr>
              <w:t>Déficit/superávit actuarial*</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Generación actual</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-86,574,353,294</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 xml:space="preserve">Generaciones Futuras </w:t>
            </w:r>
          </w:p>
        </w:tc>
        <w:tc>
          <w:tcPr>
            <w:tcW w:w="2010" w:type="dxa"/>
          </w:tcPr>
          <w:p w:rsidR="00995380" w:rsidRPr="00DF55A1" w:rsidRDefault="00995380" w:rsidP="000858E1">
            <w:pPr>
              <w:jc w:val="right"/>
              <w:rPr>
                <w:rFonts w:eastAsia="Calibri" w:cs="Times New Roman"/>
                <w:bCs/>
              </w:rPr>
            </w:pPr>
            <w:r w:rsidRPr="00DF55A1">
              <w:rPr>
                <w:rFonts w:eastAsia="Calibri" w:cs="Times New Roman"/>
                <w:bCs/>
              </w:rPr>
              <w:t>-13,870,139,683</w:t>
            </w:r>
          </w:p>
        </w:tc>
      </w:tr>
      <w:tr w:rsidR="00995380" w:rsidRPr="00DF55A1" w:rsidTr="000858E1">
        <w:trPr>
          <w:jc w:val="center"/>
        </w:trPr>
        <w:tc>
          <w:tcPr>
            <w:tcW w:w="7006" w:type="dxa"/>
            <w:gridSpan w:val="2"/>
          </w:tcPr>
          <w:p w:rsidR="00995380" w:rsidRPr="00DF55A1" w:rsidRDefault="00995380" w:rsidP="000858E1">
            <w:pPr>
              <w:rPr>
                <w:rFonts w:eastAsia="Calibri" w:cs="Times New Roman"/>
                <w:bCs/>
              </w:rPr>
            </w:pPr>
            <w:r w:rsidRPr="00DF55A1">
              <w:rPr>
                <w:rFonts w:eastAsia="Calibri" w:cs="Times New Roman"/>
                <w:b/>
              </w:rPr>
              <w:t>Estudio Actuarial</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Año de elaboración del estudio actuarial</w:t>
            </w:r>
          </w:p>
        </w:tc>
        <w:tc>
          <w:tcPr>
            <w:tcW w:w="2010" w:type="dxa"/>
          </w:tcPr>
          <w:p w:rsidR="00995380" w:rsidRPr="00DF55A1" w:rsidRDefault="00995380" w:rsidP="000858E1">
            <w:pPr>
              <w:jc w:val="center"/>
              <w:rPr>
                <w:rFonts w:eastAsia="Calibri" w:cs="Times New Roman"/>
                <w:bCs/>
              </w:rPr>
            </w:pPr>
            <w:r w:rsidRPr="00DF55A1">
              <w:rPr>
                <w:rFonts w:eastAsia="Calibri" w:cs="Times New Roman"/>
                <w:bCs/>
              </w:rPr>
              <w:t>2022</w:t>
            </w:r>
          </w:p>
        </w:tc>
      </w:tr>
      <w:tr w:rsidR="00995380" w:rsidRPr="00DF55A1" w:rsidTr="000858E1">
        <w:trPr>
          <w:jc w:val="center"/>
        </w:trPr>
        <w:tc>
          <w:tcPr>
            <w:tcW w:w="4996" w:type="dxa"/>
          </w:tcPr>
          <w:p w:rsidR="00995380" w:rsidRPr="00DF55A1" w:rsidRDefault="00995380" w:rsidP="000858E1">
            <w:pPr>
              <w:rPr>
                <w:rFonts w:eastAsia="Calibri" w:cs="Times New Roman"/>
                <w:bCs/>
              </w:rPr>
            </w:pPr>
            <w:r w:rsidRPr="00DF55A1">
              <w:rPr>
                <w:rFonts w:eastAsia="Calibri" w:cs="Times New Roman"/>
                <w:bCs/>
              </w:rPr>
              <w:t>Empresa que elaboró el estudio actuarial</w:t>
            </w:r>
          </w:p>
        </w:tc>
        <w:tc>
          <w:tcPr>
            <w:tcW w:w="2010" w:type="dxa"/>
          </w:tcPr>
          <w:p w:rsidR="00995380" w:rsidRPr="00DF55A1" w:rsidRDefault="00995380" w:rsidP="000858E1">
            <w:pPr>
              <w:jc w:val="center"/>
              <w:rPr>
                <w:rFonts w:eastAsia="Calibri" w:cs="Times New Roman"/>
                <w:bCs/>
              </w:rPr>
            </w:pPr>
            <w:r w:rsidRPr="00DF55A1">
              <w:rPr>
                <w:rFonts w:eastAsia="Calibri" w:cs="Times New Roman"/>
                <w:bCs/>
              </w:rPr>
              <w:t>Farell Grupo de Consultoría, S.C</w:t>
            </w:r>
          </w:p>
        </w:tc>
      </w:tr>
      <w:tr w:rsidR="00995380" w:rsidRPr="00DF55A1" w:rsidTr="000858E1">
        <w:trPr>
          <w:jc w:val="center"/>
        </w:trPr>
        <w:tc>
          <w:tcPr>
            <w:tcW w:w="7006" w:type="dxa"/>
            <w:gridSpan w:val="2"/>
          </w:tcPr>
          <w:p w:rsidR="00995380" w:rsidRPr="00DF55A1" w:rsidRDefault="00995380" w:rsidP="000858E1">
            <w:pPr>
              <w:rPr>
                <w:rFonts w:eastAsia="Calibri" w:cs="Times New Roman"/>
                <w:bCs/>
              </w:rPr>
            </w:pPr>
            <w:r w:rsidRPr="00DF55A1">
              <w:rPr>
                <w:rFonts w:eastAsia="Calibri"/>
                <w:bCs/>
              </w:rPr>
              <w:t>*El déficit/superávit actuarial contiene otros gastos y otros ingresos</w:t>
            </w:r>
          </w:p>
        </w:tc>
      </w:tr>
    </w:tbl>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ind w:left="720"/>
        <w:rPr>
          <w:rFonts w:eastAsia="Calibri" w:cs="Times New Roman"/>
          <w:b/>
          <w:sz w:val="22"/>
          <w:szCs w:val="22"/>
        </w:rPr>
      </w:pPr>
      <w:r w:rsidRPr="00DF55A1">
        <w:rPr>
          <w:rFonts w:eastAsia="Calibri" w:cs="Times New Roman"/>
          <w:b/>
          <w:sz w:val="22"/>
          <w:szCs w:val="22"/>
        </w:rPr>
        <w:t>f) Provisiones.</w:t>
      </w:r>
    </w:p>
    <w:p w:rsidR="00995380" w:rsidRPr="00DF55A1" w:rsidRDefault="00995380" w:rsidP="00995380">
      <w:pPr>
        <w:spacing w:before="0" w:after="0"/>
        <w:ind w:left="720"/>
        <w:rPr>
          <w:rFonts w:eastAsia="Calibri" w:cs="Times New Roman"/>
          <w:bCs/>
          <w:sz w:val="22"/>
          <w:szCs w:val="22"/>
        </w:rPr>
      </w:pPr>
      <w:r w:rsidRPr="00DF55A1">
        <w:rPr>
          <w:rFonts w:eastAsia="Calibri" w:cs="Times New Roman"/>
          <w:bCs/>
          <w:sz w:val="22"/>
          <w:szCs w:val="22"/>
        </w:rPr>
        <w:lastRenderedPageBreak/>
        <w:t>Durante el período contable, no se han identificado provisiones que deban ser reconocidas en los estados financieros. Por lo tanto, no se han registrado movimientos ni saldos relacionados con provisiones en este período.</w:t>
      </w:r>
    </w:p>
    <w:p w:rsidR="00995380" w:rsidRPr="00DF55A1" w:rsidRDefault="00995380" w:rsidP="00995380">
      <w:pPr>
        <w:spacing w:before="0" w:after="0"/>
        <w:ind w:left="720"/>
        <w:rPr>
          <w:rFonts w:eastAsia="Calibri" w:cs="Times New Roman"/>
          <w:bCs/>
          <w:sz w:val="22"/>
          <w:szCs w:val="22"/>
        </w:rPr>
      </w:pPr>
    </w:p>
    <w:p w:rsidR="00995380" w:rsidRPr="00DF55A1" w:rsidRDefault="00995380" w:rsidP="00995380">
      <w:pPr>
        <w:spacing w:before="0" w:after="0"/>
        <w:ind w:left="720"/>
        <w:rPr>
          <w:rFonts w:eastAsia="Calibri" w:cs="Times New Roman"/>
          <w:b/>
          <w:sz w:val="22"/>
          <w:szCs w:val="22"/>
        </w:rPr>
      </w:pPr>
      <w:r w:rsidRPr="00DF55A1">
        <w:rPr>
          <w:rFonts w:eastAsia="Calibri" w:cs="Times New Roman"/>
          <w:b/>
          <w:sz w:val="22"/>
          <w:szCs w:val="22"/>
        </w:rPr>
        <w:t>g) Reservas.</w:t>
      </w:r>
    </w:p>
    <w:p w:rsidR="00995380" w:rsidRPr="00DF55A1" w:rsidRDefault="00995380" w:rsidP="00995380">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reservas que deban ser reconocidas en los estados financieros. Por lo tanto, no se han registrado movimientos ni saldos relacionados con reservas en este período.</w:t>
      </w:r>
    </w:p>
    <w:p w:rsidR="00995380" w:rsidRPr="00DF55A1" w:rsidRDefault="00995380" w:rsidP="00995380">
      <w:pPr>
        <w:spacing w:before="0" w:after="0"/>
        <w:ind w:left="720"/>
        <w:rPr>
          <w:rFonts w:eastAsia="Calibri" w:cs="Times New Roman"/>
          <w:b/>
          <w:sz w:val="22"/>
          <w:szCs w:val="22"/>
        </w:rPr>
      </w:pPr>
    </w:p>
    <w:p w:rsidR="00995380" w:rsidRPr="00DF55A1" w:rsidRDefault="00995380" w:rsidP="00995380">
      <w:pPr>
        <w:spacing w:before="0" w:after="0"/>
        <w:ind w:left="720"/>
        <w:rPr>
          <w:rFonts w:eastAsia="Calibri" w:cs="Times New Roman"/>
          <w:b/>
          <w:sz w:val="22"/>
          <w:szCs w:val="22"/>
        </w:rPr>
      </w:pPr>
    </w:p>
    <w:p w:rsidR="00995380" w:rsidRPr="00DF55A1" w:rsidRDefault="00995380" w:rsidP="00995380">
      <w:pPr>
        <w:spacing w:before="0" w:after="0"/>
        <w:ind w:left="720"/>
        <w:rPr>
          <w:rFonts w:eastAsia="Calibri" w:cs="Times New Roman"/>
          <w:b/>
          <w:bCs/>
          <w:sz w:val="22"/>
          <w:szCs w:val="22"/>
        </w:rPr>
      </w:pPr>
      <w:r w:rsidRPr="00DF55A1">
        <w:rPr>
          <w:rFonts w:eastAsia="Calibri" w:cs="Times New Roman"/>
          <w:b/>
          <w:bCs/>
          <w:sz w:val="22"/>
          <w:szCs w:val="22"/>
        </w:rPr>
        <w:t>h) Cambios en políticas contables y corrección de errores junto con la revelación.</w:t>
      </w:r>
    </w:p>
    <w:p w:rsidR="00995380" w:rsidRPr="00DF55A1" w:rsidRDefault="00995380" w:rsidP="00995380">
      <w:pPr>
        <w:spacing w:before="0" w:after="0"/>
        <w:ind w:left="720"/>
        <w:rPr>
          <w:rFonts w:eastAsia="Calibri" w:cs="Times New Roman"/>
          <w:bCs/>
          <w:sz w:val="22"/>
          <w:szCs w:val="22"/>
        </w:rPr>
      </w:pPr>
      <w:r w:rsidRPr="00DF55A1">
        <w:rPr>
          <w:rFonts w:eastAsia="Calibri" w:cs="Times New Roman"/>
          <w:bCs/>
          <w:sz w:val="22"/>
          <w:szCs w:val="22"/>
        </w:rPr>
        <w:t>Durante el período contable, no se han realizado cambios en las políticas contables adoptadas por la Secretaría de Finanzas y Administración. Las políticas contables aplicadas son consistentes con las utilizadas en los períodos anteriores.</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6</w:t>
      </w:r>
      <w:r w:rsidRPr="00CF40B9">
        <w:rPr>
          <w:rFonts w:eastAsia="Calibri" w:cs="Times New Roman"/>
          <w:b/>
          <w:sz w:val="22"/>
          <w:szCs w:val="22"/>
        </w:rPr>
        <w:t>. Posición en moneda extranjera y protección por riesgo cambiario.</w:t>
      </w:r>
    </w:p>
    <w:p w:rsidR="00995380" w:rsidRPr="004F06F2" w:rsidRDefault="00995380" w:rsidP="00995380">
      <w:pPr>
        <w:spacing w:before="0" w:after="0"/>
        <w:rPr>
          <w:rFonts w:eastAsia="Calibri" w:cs="Times New Roman"/>
          <w:b/>
          <w:sz w:val="22"/>
          <w:szCs w:val="22"/>
        </w:rPr>
      </w:pPr>
    </w:p>
    <w:p w:rsidR="00995380" w:rsidRDefault="00995380" w:rsidP="00995380">
      <w:pPr>
        <w:spacing w:before="0" w:after="0"/>
        <w:rPr>
          <w:rFonts w:eastAsia="Calibri" w:cs="Times New Roman"/>
          <w:bCs/>
          <w:sz w:val="22"/>
          <w:szCs w:val="22"/>
        </w:rPr>
      </w:pPr>
      <w:r w:rsidRPr="004F06F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rsidR="00995380" w:rsidRPr="00CF40B9" w:rsidRDefault="00995380" w:rsidP="00995380">
      <w:pPr>
        <w:spacing w:before="0" w:after="0"/>
        <w:rPr>
          <w:rFonts w:eastAsia="Calibri" w:cs="Times New Roman"/>
          <w:bCs/>
          <w:sz w:val="22"/>
          <w:szCs w:val="22"/>
        </w:rPr>
      </w:pPr>
    </w:p>
    <w:p w:rsidR="00995380" w:rsidRPr="0048691E" w:rsidRDefault="00995380" w:rsidP="00995380">
      <w:pPr>
        <w:spacing w:before="0" w:after="0"/>
        <w:rPr>
          <w:rFonts w:eastAsia="Calibri" w:cs="Times New Roman"/>
          <w:b/>
          <w:sz w:val="22"/>
          <w:szCs w:val="22"/>
        </w:rPr>
      </w:pPr>
      <w:r w:rsidRPr="0048691E">
        <w:rPr>
          <w:rFonts w:eastAsia="Calibri" w:cs="Times New Roman"/>
          <w:b/>
          <w:sz w:val="22"/>
          <w:szCs w:val="22"/>
        </w:rPr>
        <w:t>7. Reporte Analítico del Activo.</w:t>
      </w:r>
    </w:p>
    <w:p w:rsidR="00995380" w:rsidRPr="00162A85" w:rsidRDefault="00995380" w:rsidP="00995380">
      <w:pPr>
        <w:spacing w:before="0" w:after="0"/>
        <w:rPr>
          <w:rFonts w:eastAsia="Calibri" w:cs="Times New Roman"/>
          <w:b/>
          <w:sz w:val="22"/>
          <w:szCs w:val="22"/>
          <w:highlight w:val="yellow"/>
        </w:rPr>
      </w:pPr>
    </w:p>
    <w:p w:rsidR="00995380" w:rsidRPr="00DF55A1" w:rsidRDefault="00995380" w:rsidP="00995380">
      <w:pPr>
        <w:spacing w:before="0" w:after="0"/>
        <w:rPr>
          <w:rFonts w:eastAsia="Calibri" w:cs="Times New Roman"/>
          <w:sz w:val="22"/>
          <w:szCs w:val="22"/>
        </w:rPr>
      </w:pPr>
      <w:r w:rsidRPr="00DF55A1">
        <w:rPr>
          <w:rFonts w:eastAsia="Calibri" w:cs="Times New Roman"/>
          <w:sz w:val="22"/>
          <w:szCs w:val="22"/>
        </w:rPr>
        <w:t xml:space="preserve">De acuerdo a la vida útil estimada y porcentajes de depreciación se toman como referencia los Parámetros de Estimación de Vida Útil publicados </w:t>
      </w:r>
      <w:r w:rsidRPr="00DF55A1">
        <w:rPr>
          <w:sz w:val="22"/>
          <w:szCs w:val="22"/>
        </w:rPr>
        <w:t>en el Periódico Oficial de la Federación, el día 15 de agosto de 2012.</w:t>
      </w:r>
    </w:p>
    <w:p w:rsidR="00995380" w:rsidRPr="00DF55A1" w:rsidRDefault="00995380" w:rsidP="00995380">
      <w:pPr>
        <w:rPr>
          <w:sz w:val="22"/>
          <w:szCs w:val="22"/>
        </w:rPr>
      </w:pPr>
    </w:p>
    <w:p w:rsidR="00995380" w:rsidRDefault="00995380" w:rsidP="00995380">
      <w:r>
        <w:t xml:space="preserve">el proceso de administración del alta de un bien inmueble, puede ser: por adquisición, expropiación, </w:t>
      </w:r>
      <w:r w:rsidRPr="00C11B02">
        <w:t>donación</w:t>
      </w:r>
      <w:r>
        <w:rPr>
          <w:b/>
        </w:rPr>
        <w:t>,</w:t>
      </w:r>
      <w:r>
        <w:t xml:space="preserve"> </w:t>
      </w:r>
      <w:r>
        <w:lastRenderedPageBreak/>
        <w:t>regularización, permuta y disposición entre otros, e</w:t>
      </w:r>
      <w:r w:rsidRPr="004D1F59">
        <w:t xml:space="preserve">n el </w:t>
      </w:r>
      <w:r>
        <w:t>caso de las áreas de donación a</w:t>
      </w:r>
      <w:r w:rsidRPr="004D1F59">
        <w:t xml:space="preserve"> fav</w:t>
      </w:r>
      <w:r>
        <w:t xml:space="preserve">or del Gobierno del Estado, se destinara el 3% del área total del </w:t>
      </w:r>
      <w:r w:rsidRPr="004D1F59">
        <w:t>predio,</w:t>
      </w:r>
      <w:r>
        <w:t xml:space="preserve"> la cual se escritura a favor de Gobierno del Estado de Michoacán,</w:t>
      </w:r>
      <w:r w:rsidRPr="004D1F59">
        <w:t xml:space="preserve"> esta superficie</w:t>
      </w:r>
      <w:r>
        <w:t xml:space="preserve"> se</w:t>
      </w:r>
      <w:r w:rsidRPr="004D1F59">
        <w:t xml:space="preserve"> regulariza</w:t>
      </w:r>
      <w:r>
        <w:t xml:space="preserve"> a través de las donaciones, </w:t>
      </w:r>
      <w:r w:rsidRPr="00D221E2">
        <w:t>de cu</w:t>
      </w:r>
      <w:r w:rsidRPr="00C349D9">
        <w:t xml:space="preserve">alquiera de los tipos que se señalan en </w:t>
      </w:r>
      <w:r w:rsidRPr="00C349D9">
        <w:rPr>
          <w:sz w:val="22"/>
          <w:szCs w:val="22"/>
        </w:rPr>
        <w:t>el Código de Desarrollo Urbano del Estado de Michoacán de Ocampo, en su artículo 329, para el ejercicio 2025.</w:t>
      </w:r>
    </w:p>
    <w:p w:rsidR="00995380" w:rsidRPr="00DF55A1" w:rsidRDefault="00995380" w:rsidP="00995380">
      <w:pPr>
        <w:rPr>
          <w:sz w:val="22"/>
          <w:szCs w:val="22"/>
        </w:rPr>
      </w:pPr>
    </w:p>
    <w:p w:rsidR="00995380" w:rsidRPr="00DF55A1" w:rsidRDefault="00995380" w:rsidP="00995380">
      <w:pPr>
        <w:rPr>
          <w:sz w:val="22"/>
          <w:szCs w:val="22"/>
        </w:rPr>
      </w:pPr>
      <w:r w:rsidRPr="00DF55A1">
        <w:rPr>
          <w:sz w:val="22"/>
          <w:szCs w:val="22"/>
        </w:rPr>
        <w:t>Se llevó a cabo el registro en la cuenta contable 1.2.6.1. Depreciación Acumulada de Bienes Inmuebles la cual, derivada de la actualización en el módulo del Sistema Integral de Gestión de Recursos Gubernamentales</w:t>
      </w:r>
      <w:r>
        <w:rPr>
          <w:sz w:val="22"/>
          <w:szCs w:val="22"/>
        </w:rPr>
        <w:t>, realizada en el ejercicio 2024</w:t>
      </w:r>
      <w:r w:rsidRPr="00DF55A1">
        <w:rPr>
          <w:sz w:val="22"/>
          <w:szCs w:val="22"/>
        </w:rPr>
        <w:t>, por lo que</w:t>
      </w:r>
      <w:r>
        <w:rPr>
          <w:sz w:val="22"/>
          <w:szCs w:val="22"/>
        </w:rPr>
        <w:t xml:space="preserve"> en el primer trimestre de 2025</w:t>
      </w:r>
      <w:r w:rsidRPr="00DF55A1">
        <w:rPr>
          <w:sz w:val="22"/>
          <w:szCs w:val="22"/>
        </w:rPr>
        <w:t xml:space="preserve"> se registraron depreciaciones por </w:t>
      </w:r>
      <w:r>
        <w:rPr>
          <w:sz w:val="22"/>
          <w:szCs w:val="22"/>
        </w:rPr>
        <w:t>87</w:t>
      </w:r>
      <w:r w:rsidRPr="00DF55A1">
        <w:rPr>
          <w:sz w:val="22"/>
          <w:szCs w:val="22"/>
        </w:rPr>
        <w:t xml:space="preserve"> millones </w:t>
      </w:r>
      <w:r>
        <w:rPr>
          <w:sz w:val="22"/>
          <w:szCs w:val="22"/>
        </w:rPr>
        <w:t>208</w:t>
      </w:r>
      <w:r w:rsidRPr="00DF55A1">
        <w:rPr>
          <w:sz w:val="22"/>
          <w:szCs w:val="22"/>
        </w:rPr>
        <w:t xml:space="preserve"> mil </w:t>
      </w:r>
      <w:r>
        <w:rPr>
          <w:sz w:val="22"/>
          <w:szCs w:val="22"/>
        </w:rPr>
        <w:t>179</w:t>
      </w:r>
      <w:r w:rsidRPr="00DF55A1">
        <w:rPr>
          <w:sz w:val="22"/>
          <w:szCs w:val="22"/>
        </w:rPr>
        <w:t xml:space="preserve"> pesos </w:t>
      </w:r>
      <w:r>
        <w:rPr>
          <w:sz w:val="22"/>
          <w:szCs w:val="22"/>
        </w:rPr>
        <w:t>64</w:t>
      </w:r>
      <w:r w:rsidRPr="00DF55A1">
        <w:rPr>
          <w:sz w:val="22"/>
          <w:szCs w:val="22"/>
        </w:rPr>
        <w:t xml:space="preserve"> centavos, que corresponde a la depreciación histórica de los bienes actualizados. </w:t>
      </w:r>
    </w:p>
    <w:p w:rsidR="00995380" w:rsidRPr="00DF55A1" w:rsidRDefault="00995380" w:rsidP="00995380">
      <w:pPr>
        <w:rPr>
          <w:sz w:val="22"/>
          <w:szCs w:val="22"/>
        </w:rPr>
      </w:pPr>
    </w:p>
    <w:p w:rsidR="00995380" w:rsidRPr="00DF55A1" w:rsidRDefault="00995380" w:rsidP="00995380">
      <w:pPr>
        <w:rPr>
          <w:sz w:val="22"/>
          <w:szCs w:val="22"/>
        </w:rPr>
      </w:pPr>
      <w:r w:rsidRPr="00DF55A1">
        <w:rPr>
          <w:sz w:val="22"/>
          <w:szCs w:val="22"/>
        </w:rPr>
        <w:t xml:space="preserve">Así mismo en la cuenta contable 1.2.6.3. Depreciación Acumulada de Bienes Muebles se realizó el registro por la cantidad de las depreciaciones, </w:t>
      </w:r>
      <w:r>
        <w:rPr>
          <w:sz w:val="22"/>
          <w:szCs w:val="22"/>
        </w:rPr>
        <w:t>por 12</w:t>
      </w:r>
      <w:r w:rsidRPr="00DF55A1">
        <w:rPr>
          <w:sz w:val="22"/>
          <w:szCs w:val="22"/>
        </w:rPr>
        <w:t xml:space="preserve"> millones </w:t>
      </w:r>
      <w:r>
        <w:rPr>
          <w:sz w:val="22"/>
          <w:szCs w:val="22"/>
        </w:rPr>
        <w:t>604</w:t>
      </w:r>
      <w:r w:rsidRPr="00DF55A1">
        <w:rPr>
          <w:sz w:val="22"/>
          <w:szCs w:val="22"/>
        </w:rPr>
        <w:t xml:space="preserve"> mil </w:t>
      </w:r>
      <w:r>
        <w:rPr>
          <w:sz w:val="22"/>
          <w:szCs w:val="22"/>
        </w:rPr>
        <w:t>642</w:t>
      </w:r>
      <w:r w:rsidRPr="00DF55A1">
        <w:rPr>
          <w:sz w:val="22"/>
          <w:szCs w:val="22"/>
        </w:rPr>
        <w:t xml:space="preserve"> pesos </w:t>
      </w:r>
      <w:r>
        <w:rPr>
          <w:sz w:val="22"/>
          <w:szCs w:val="22"/>
        </w:rPr>
        <w:t>16</w:t>
      </w:r>
      <w:r w:rsidRPr="00DF55A1">
        <w:rPr>
          <w:sz w:val="22"/>
          <w:szCs w:val="22"/>
        </w:rPr>
        <w:t xml:space="preserve"> centavos, que corresponde a la depreciación histórica de los bienes actualizados.</w:t>
      </w:r>
    </w:p>
    <w:p w:rsidR="00995380" w:rsidRPr="00DF55A1" w:rsidRDefault="00995380" w:rsidP="00995380">
      <w:pPr>
        <w:rPr>
          <w:sz w:val="22"/>
          <w:szCs w:val="22"/>
        </w:rPr>
      </w:pPr>
    </w:p>
    <w:p w:rsidR="00995380" w:rsidRPr="00DF55A1" w:rsidRDefault="00995380" w:rsidP="00995380">
      <w:pPr>
        <w:rPr>
          <w:sz w:val="22"/>
          <w:szCs w:val="22"/>
        </w:rPr>
      </w:pPr>
      <w:r w:rsidRPr="00DF55A1">
        <w:rPr>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rsidR="00995380" w:rsidRPr="00DF55A1" w:rsidRDefault="00995380" w:rsidP="00995380">
      <w:pPr>
        <w:rPr>
          <w:sz w:val="22"/>
          <w:szCs w:val="22"/>
        </w:rPr>
      </w:pPr>
    </w:p>
    <w:p w:rsidR="00995380" w:rsidRPr="00DF55A1" w:rsidRDefault="00995380" w:rsidP="00995380">
      <w:pPr>
        <w:rPr>
          <w:sz w:val="22"/>
          <w:szCs w:val="22"/>
        </w:rPr>
      </w:pPr>
      <w:r w:rsidRPr="00DF55A1">
        <w:rPr>
          <w:sz w:val="22"/>
          <w:szCs w:val="22"/>
        </w:rPr>
        <w:t>En caso de que un bien se encuentre totalmente depreciado, pero se considera que aún cuenta con vida útil, se determinará el tiempo aproximado de vida útil del bien mueble y se mantendrá en la contabilidad el valor correspondiente.</w:t>
      </w:r>
    </w:p>
    <w:p w:rsidR="00995380" w:rsidRPr="00DF55A1" w:rsidRDefault="00995380" w:rsidP="00995380">
      <w:pPr>
        <w:rPr>
          <w:sz w:val="22"/>
          <w:szCs w:val="22"/>
        </w:rPr>
      </w:pPr>
    </w:p>
    <w:p w:rsidR="00995380" w:rsidRPr="00DF55A1" w:rsidRDefault="00995380" w:rsidP="00995380">
      <w:pPr>
        <w:rPr>
          <w:sz w:val="22"/>
          <w:szCs w:val="22"/>
        </w:rPr>
      </w:pPr>
      <w:r w:rsidRPr="00DF55A1">
        <w:rPr>
          <w:sz w:val="22"/>
          <w:szCs w:val="22"/>
        </w:rPr>
        <w:lastRenderedPageBreak/>
        <w:t>Las obras de arte, animales y terrenos no serán sujetos al proceso de depreciación.</w:t>
      </w:r>
    </w:p>
    <w:p w:rsidR="00995380" w:rsidRPr="00DF55A1" w:rsidRDefault="00995380" w:rsidP="00995380">
      <w:pPr>
        <w:rPr>
          <w:sz w:val="22"/>
          <w:szCs w:val="22"/>
        </w:rPr>
      </w:pPr>
    </w:p>
    <w:p w:rsidR="00995380" w:rsidRPr="00DF55A1" w:rsidRDefault="00995380" w:rsidP="00995380">
      <w:pPr>
        <w:rPr>
          <w:sz w:val="22"/>
          <w:szCs w:val="22"/>
        </w:rPr>
      </w:pPr>
      <w:r w:rsidRPr="00DF55A1">
        <w:rPr>
          <w:sz w:val="22"/>
          <w:szCs w:val="22"/>
        </w:rPr>
        <w:t>Los porcentajes de depreciación se aplican dividiendo los años de vida útil del bien, entre su valor de adquisición, de conformidad con los parámetros establecidos por el Consejo Nacional de Armonización Contable.</w:t>
      </w:r>
    </w:p>
    <w:p w:rsidR="00995380" w:rsidRPr="00DF55A1" w:rsidRDefault="00995380" w:rsidP="00995380">
      <w:pPr>
        <w:spacing w:before="0" w:after="0"/>
        <w:rPr>
          <w:sz w:val="22"/>
          <w:szCs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b) Cambios en el porcentaje de depreciación o valor residual de los activos.</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c) Importe de los gastos capitalizados en el ejercicio, tanto financieros con de investigación y desarrollo.</w:t>
      </w: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Durante el periodo del presente informe no se ha realizado capitalización de gastos.</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d) Riesgos por tipo de cambio o tipo de interés de las inversiones financieras.</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El Gobierno del Estado de Michoacán no realiza inversiones en moneda extranjera ni consideradas de riesgo.</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e) Valor activado en el ejercicio de los bienes construidos por la entidad.</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f) Otras circunstancias de carácter significativo que afecten el activo.</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 xml:space="preserve">g) Desmantelamiento de Activos. </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
          <w:sz w:val="22"/>
          <w:szCs w:val="22"/>
        </w:rPr>
      </w:pPr>
      <w:r w:rsidRPr="00DF55A1">
        <w:rPr>
          <w:rFonts w:eastAsia="Calibri" w:cs="Times New Roman"/>
          <w:b/>
          <w:sz w:val="22"/>
          <w:szCs w:val="22"/>
        </w:rPr>
        <w:t>h) Administración de activos.</w:t>
      </w:r>
    </w:p>
    <w:p w:rsidR="00995380" w:rsidRPr="00DF55A1" w:rsidRDefault="00995380" w:rsidP="00995380">
      <w:pPr>
        <w:spacing w:before="0" w:after="0"/>
        <w:rPr>
          <w:rFonts w:eastAsia="Calibri" w:cs="Times New Roman"/>
          <w:b/>
          <w:sz w:val="22"/>
          <w:szCs w:val="22"/>
        </w:rPr>
      </w:pPr>
    </w:p>
    <w:p w:rsidR="00995380" w:rsidRPr="00DF55A1" w:rsidRDefault="00995380" w:rsidP="00995380">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rsidR="00995380" w:rsidRPr="00DF55A1" w:rsidRDefault="00995380" w:rsidP="00995380">
      <w:pPr>
        <w:spacing w:before="0" w:after="0"/>
        <w:rPr>
          <w:rFonts w:eastAsia="Calibri" w:cs="Times New Roman"/>
          <w:bCs/>
          <w:sz w:val="22"/>
          <w:szCs w:val="22"/>
        </w:rPr>
      </w:pPr>
    </w:p>
    <w:p w:rsidR="00995380" w:rsidRPr="00DF55A1" w:rsidRDefault="00995380" w:rsidP="00995380">
      <w:pPr>
        <w:spacing w:before="0" w:after="0"/>
        <w:ind w:firstLine="708"/>
        <w:rPr>
          <w:rFonts w:eastAsia="Calibri" w:cs="Times New Roman"/>
          <w:bCs/>
          <w:sz w:val="22"/>
          <w:szCs w:val="22"/>
        </w:rPr>
      </w:pPr>
      <w:r w:rsidRPr="00DF55A1">
        <w:rPr>
          <w:rFonts w:eastAsia="Calibri" w:cs="Times New Roman"/>
          <w:sz w:val="22"/>
          <w:szCs w:val="22"/>
        </w:rPr>
        <w:t>a)</w:t>
      </w:r>
      <w:r w:rsidRPr="00DF55A1">
        <w:rPr>
          <w:rFonts w:eastAsia="Calibri" w:cs="Times New Roman"/>
          <w:b/>
          <w:sz w:val="22"/>
          <w:szCs w:val="22"/>
        </w:rPr>
        <w:t xml:space="preserve"> </w:t>
      </w:r>
      <w:r w:rsidRPr="00DF55A1">
        <w:rPr>
          <w:rFonts w:eastAsia="Calibri" w:cs="Times New Roman"/>
          <w:bCs/>
          <w:sz w:val="22"/>
          <w:szCs w:val="22"/>
        </w:rPr>
        <w:t>Inversiones en valores.</w:t>
      </w:r>
    </w:p>
    <w:p w:rsidR="00995380" w:rsidRPr="00DF55A1" w:rsidRDefault="00995380" w:rsidP="00995380">
      <w:pPr>
        <w:spacing w:before="0" w:after="0"/>
        <w:ind w:firstLine="708"/>
        <w:rPr>
          <w:rFonts w:eastAsia="Calibri" w:cs="Times New Roman"/>
          <w:bCs/>
          <w:sz w:val="22"/>
          <w:szCs w:val="22"/>
        </w:rPr>
      </w:pPr>
      <w:r w:rsidRPr="00DF55A1">
        <w:rPr>
          <w:rFonts w:eastAsia="Calibri" w:cs="Times New Roman"/>
          <w:bCs/>
          <w:sz w:val="22"/>
          <w:szCs w:val="22"/>
        </w:rPr>
        <w:t>No se realizaron inversiones en valores durante el período reportado.</w:t>
      </w:r>
    </w:p>
    <w:p w:rsidR="00995380" w:rsidRPr="00DF55A1" w:rsidRDefault="00995380" w:rsidP="00995380">
      <w:pPr>
        <w:spacing w:before="0" w:after="0"/>
        <w:ind w:left="708"/>
        <w:rPr>
          <w:rFonts w:eastAsia="Calibri" w:cs="Times New Roman"/>
          <w:bCs/>
          <w:sz w:val="22"/>
          <w:szCs w:val="22"/>
        </w:rPr>
      </w:pPr>
    </w:p>
    <w:p w:rsidR="00995380" w:rsidRPr="00DF55A1" w:rsidRDefault="00995380" w:rsidP="00995380">
      <w:pPr>
        <w:spacing w:before="0" w:after="0"/>
        <w:ind w:left="708"/>
        <w:rPr>
          <w:rFonts w:eastAsia="Calibri" w:cs="Times New Roman"/>
          <w:bCs/>
          <w:sz w:val="22"/>
          <w:szCs w:val="22"/>
        </w:rPr>
      </w:pPr>
      <w:r w:rsidRPr="00DF55A1">
        <w:rPr>
          <w:rFonts w:eastAsia="Calibri" w:cs="Times New Roman"/>
          <w:bCs/>
          <w:sz w:val="22"/>
          <w:szCs w:val="22"/>
        </w:rPr>
        <w:t>b) Patrimonio de Organismos Descentralizados de Control Presupuestario Indirecto.</w:t>
      </w:r>
    </w:p>
    <w:p w:rsidR="00995380" w:rsidRPr="00DF55A1" w:rsidRDefault="00995380" w:rsidP="00995380">
      <w:pPr>
        <w:spacing w:before="0" w:after="0"/>
        <w:ind w:left="708"/>
        <w:rPr>
          <w:rFonts w:eastAsia="Calibri" w:cs="Times New Roman"/>
          <w:bCs/>
          <w:sz w:val="22"/>
          <w:szCs w:val="22"/>
        </w:rPr>
      </w:pPr>
    </w:p>
    <w:p w:rsidR="00995380" w:rsidRPr="00DF55A1" w:rsidRDefault="00995380" w:rsidP="00995380">
      <w:pPr>
        <w:spacing w:before="0" w:after="0"/>
        <w:ind w:left="708"/>
        <w:rPr>
          <w:rFonts w:eastAsia="Calibri" w:cs="Times New Roman"/>
          <w:bCs/>
          <w:sz w:val="22"/>
          <w:szCs w:val="22"/>
        </w:rPr>
      </w:pPr>
      <w:r w:rsidRPr="00DF55A1">
        <w:rPr>
          <w:rFonts w:eastAsia="Calibri" w:cs="Times New Roman"/>
          <w:bCs/>
          <w:sz w:val="22"/>
          <w:szCs w:val="22"/>
        </w:rPr>
        <w:t>La Secretaría de Finanzas y Administración no cuenta con información que revelar en el periodo que se informa.</w:t>
      </w:r>
    </w:p>
    <w:p w:rsidR="00995380" w:rsidRPr="00DF55A1" w:rsidRDefault="00995380" w:rsidP="00995380">
      <w:pPr>
        <w:spacing w:before="0" w:after="0"/>
        <w:ind w:firstLine="708"/>
        <w:rPr>
          <w:rFonts w:eastAsia="Calibri" w:cs="Times New Roman"/>
          <w:bCs/>
          <w:sz w:val="22"/>
          <w:szCs w:val="22"/>
        </w:rPr>
      </w:pPr>
    </w:p>
    <w:p w:rsidR="00995380" w:rsidRPr="00DF55A1" w:rsidRDefault="00995380" w:rsidP="00995380">
      <w:pPr>
        <w:spacing w:before="0" w:after="0"/>
        <w:ind w:firstLine="708"/>
        <w:rPr>
          <w:rFonts w:eastAsia="Calibri" w:cs="Times New Roman"/>
          <w:bCs/>
          <w:sz w:val="22"/>
          <w:szCs w:val="22"/>
        </w:rPr>
      </w:pPr>
      <w:r w:rsidRPr="00DF55A1">
        <w:rPr>
          <w:rFonts w:eastAsia="Calibri" w:cs="Times New Roman"/>
          <w:bCs/>
          <w:sz w:val="22"/>
          <w:szCs w:val="22"/>
        </w:rPr>
        <w:t>c) Inversiones en empresas de participación mayoritaria.</w:t>
      </w:r>
    </w:p>
    <w:p w:rsidR="00995380" w:rsidRPr="00DF55A1" w:rsidRDefault="00995380" w:rsidP="00995380">
      <w:pPr>
        <w:spacing w:before="0" w:after="0"/>
        <w:ind w:firstLine="708"/>
        <w:rPr>
          <w:rFonts w:eastAsia="Calibri" w:cs="Times New Roman"/>
          <w:bCs/>
          <w:sz w:val="22"/>
          <w:szCs w:val="22"/>
        </w:rPr>
      </w:pPr>
    </w:p>
    <w:p w:rsidR="00995380" w:rsidRPr="00DF55A1" w:rsidRDefault="00995380" w:rsidP="00995380">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rsidR="00995380" w:rsidRPr="00DF55A1" w:rsidRDefault="00995380" w:rsidP="00995380">
      <w:pPr>
        <w:spacing w:before="0" w:after="0"/>
        <w:ind w:firstLine="708"/>
        <w:rPr>
          <w:rFonts w:eastAsia="Calibri" w:cs="Times New Roman"/>
          <w:bCs/>
          <w:sz w:val="22"/>
          <w:szCs w:val="22"/>
        </w:rPr>
      </w:pPr>
    </w:p>
    <w:p w:rsidR="00995380" w:rsidRPr="00DF55A1" w:rsidRDefault="00995380" w:rsidP="00995380">
      <w:pPr>
        <w:spacing w:before="0" w:after="0"/>
        <w:ind w:firstLine="708"/>
        <w:rPr>
          <w:rFonts w:eastAsia="Calibri" w:cs="Times New Roman"/>
          <w:bCs/>
          <w:sz w:val="22"/>
          <w:szCs w:val="22"/>
        </w:rPr>
      </w:pPr>
      <w:r w:rsidRPr="00DF55A1">
        <w:rPr>
          <w:rFonts w:eastAsia="Calibri" w:cs="Times New Roman"/>
          <w:bCs/>
          <w:sz w:val="22"/>
          <w:szCs w:val="22"/>
        </w:rPr>
        <w:t>d) Inversiones en empresas de participación minoritaria.</w:t>
      </w:r>
    </w:p>
    <w:p w:rsidR="00995380" w:rsidRPr="00DF55A1" w:rsidRDefault="00995380" w:rsidP="00995380">
      <w:pPr>
        <w:spacing w:before="0" w:after="0"/>
        <w:ind w:firstLine="708"/>
        <w:rPr>
          <w:rFonts w:eastAsia="Calibri" w:cs="Times New Roman"/>
          <w:bCs/>
          <w:sz w:val="22"/>
          <w:szCs w:val="22"/>
        </w:rPr>
      </w:pPr>
    </w:p>
    <w:p w:rsidR="00995380" w:rsidRPr="00DF55A1" w:rsidRDefault="00995380" w:rsidP="00995380">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rsidR="00995380" w:rsidRPr="00DF55A1" w:rsidRDefault="00995380" w:rsidP="00995380">
      <w:pPr>
        <w:spacing w:before="0" w:after="0"/>
        <w:ind w:left="708"/>
        <w:rPr>
          <w:rFonts w:eastAsia="Calibri" w:cs="Times New Roman"/>
          <w:bCs/>
          <w:sz w:val="22"/>
          <w:szCs w:val="22"/>
        </w:rPr>
      </w:pPr>
    </w:p>
    <w:p w:rsidR="00995380" w:rsidRPr="00DF55A1" w:rsidRDefault="00995380" w:rsidP="00995380">
      <w:pPr>
        <w:spacing w:before="0" w:after="0"/>
        <w:ind w:left="708"/>
        <w:rPr>
          <w:rFonts w:eastAsia="Calibri" w:cs="Times New Roman"/>
          <w:bCs/>
          <w:sz w:val="22"/>
          <w:szCs w:val="22"/>
        </w:rPr>
      </w:pPr>
      <w:r w:rsidRPr="00DF55A1">
        <w:rPr>
          <w:rFonts w:eastAsia="Calibri" w:cs="Times New Roman"/>
          <w:bCs/>
          <w:sz w:val="22"/>
          <w:szCs w:val="22"/>
        </w:rPr>
        <w:t xml:space="preserve">e) Patrimonio de Organismos Descentralizados de Control Presupuestario Directo, según corresponda. </w:t>
      </w:r>
    </w:p>
    <w:p w:rsidR="00995380" w:rsidRPr="00DF55A1" w:rsidRDefault="00995380" w:rsidP="00995380">
      <w:pPr>
        <w:spacing w:before="0" w:after="0"/>
        <w:ind w:left="708"/>
        <w:rPr>
          <w:rFonts w:eastAsia="Calibri" w:cs="Times New Roman"/>
          <w:bCs/>
          <w:sz w:val="22"/>
          <w:szCs w:val="22"/>
        </w:rPr>
      </w:pPr>
    </w:p>
    <w:p w:rsidR="00995380" w:rsidRDefault="00995380" w:rsidP="00995380">
      <w:pPr>
        <w:spacing w:before="0" w:after="0"/>
        <w:ind w:left="708"/>
        <w:rPr>
          <w:rFonts w:eastAsia="Calibri" w:cs="Times New Roman"/>
          <w:bCs/>
          <w:sz w:val="22"/>
          <w:szCs w:val="22"/>
        </w:rPr>
      </w:pPr>
      <w:r w:rsidRPr="00DF55A1">
        <w:rPr>
          <w:rFonts w:eastAsia="Calibri" w:cs="Times New Roman"/>
          <w:bCs/>
          <w:sz w:val="22"/>
          <w:szCs w:val="22"/>
        </w:rPr>
        <w:lastRenderedPageBreak/>
        <w:t xml:space="preserve">La Secretaría de Finanzas y Administración no tiene información que revelar en el período. </w:t>
      </w:r>
    </w:p>
    <w:p w:rsidR="00995380" w:rsidRPr="00F91796" w:rsidRDefault="00995380" w:rsidP="00995380">
      <w:pPr>
        <w:spacing w:before="0" w:after="0"/>
        <w:ind w:left="708"/>
        <w:rPr>
          <w:rFonts w:eastAsia="Calibri" w:cs="Times New Roman"/>
          <w:bCs/>
          <w:sz w:val="22"/>
          <w:szCs w:val="22"/>
        </w:rPr>
      </w:pPr>
    </w:p>
    <w:p w:rsidR="00995380" w:rsidRPr="00F91796" w:rsidRDefault="00995380" w:rsidP="00995380">
      <w:pPr>
        <w:rPr>
          <w:sz w:val="22"/>
        </w:rPr>
      </w:pPr>
      <w:r w:rsidRPr="00F91796">
        <w:rPr>
          <w:sz w:val="22"/>
        </w:rPr>
        <w:t>Para tales efectos se toma como referencia los Parámetros de Estimación de Vida Útil, recomendación emitida por el Consejo Nacional de Armonización Contable (CONAC), y estructurada en la “Guía de vida útil estimada y porcentajes de depreciación”, considerando un uso normal y adecuado a las características de los bienes, el porcentaje verificado para su aplicación de la Depreciación y amortización se clasifica en los siguientes rubros:</w:t>
      </w:r>
    </w:p>
    <w:tbl>
      <w:tblPr>
        <w:tblW w:w="0" w:type="auto"/>
        <w:tblInd w:w="151" w:type="dxa"/>
        <w:tblLayout w:type="fixed"/>
        <w:tblCellMar>
          <w:left w:w="0" w:type="dxa"/>
          <w:right w:w="0" w:type="dxa"/>
        </w:tblCellMar>
        <w:tblLook w:val="01E0" w:firstRow="1" w:lastRow="1" w:firstColumn="1" w:lastColumn="1" w:noHBand="0" w:noVBand="0"/>
      </w:tblPr>
      <w:tblGrid>
        <w:gridCol w:w="72"/>
        <w:gridCol w:w="910"/>
        <w:gridCol w:w="72"/>
        <w:gridCol w:w="5455"/>
        <w:gridCol w:w="40"/>
        <w:gridCol w:w="47"/>
        <w:gridCol w:w="774"/>
        <w:gridCol w:w="7"/>
        <w:gridCol w:w="87"/>
        <w:gridCol w:w="1307"/>
      </w:tblGrid>
      <w:tr w:rsidR="00995380" w:rsidRPr="00F91796" w:rsidTr="000858E1">
        <w:trPr>
          <w:trHeight w:hRule="exact" w:val="247"/>
        </w:trPr>
        <w:tc>
          <w:tcPr>
            <w:tcW w:w="982" w:type="dxa"/>
            <w:gridSpan w:val="2"/>
            <w:tcBorders>
              <w:top w:val="single" w:sz="7" w:space="0" w:color="000000"/>
              <w:left w:val="single" w:sz="7" w:space="0" w:color="000000"/>
              <w:bottom w:val="nil"/>
              <w:right w:val="single" w:sz="7" w:space="0" w:color="000000"/>
            </w:tcBorders>
            <w:shd w:val="clear" w:color="auto" w:fill="DFDFDF"/>
          </w:tcPr>
          <w:p w:rsidR="00995380" w:rsidRPr="00F91796" w:rsidRDefault="00995380" w:rsidP="000858E1"/>
        </w:tc>
        <w:tc>
          <w:tcPr>
            <w:tcW w:w="5614" w:type="dxa"/>
            <w:gridSpan w:val="4"/>
            <w:tcBorders>
              <w:top w:val="single" w:sz="7" w:space="0" w:color="000000"/>
              <w:left w:val="single" w:sz="7" w:space="0" w:color="000000"/>
              <w:bottom w:val="nil"/>
              <w:right w:val="single" w:sz="27" w:space="0" w:color="DFDFDF"/>
            </w:tcBorders>
            <w:shd w:val="clear" w:color="auto" w:fill="DFDFDF"/>
          </w:tcPr>
          <w:p w:rsidR="00995380" w:rsidRPr="00F91796" w:rsidRDefault="00995380" w:rsidP="000858E1"/>
        </w:tc>
        <w:tc>
          <w:tcPr>
            <w:tcW w:w="781" w:type="dxa"/>
            <w:gridSpan w:val="2"/>
            <w:vMerge w:val="restart"/>
            <w:tcBorders>
              <w:top w:val="single" w:sz="7" w:space="0" w:color="000000"/>
              <w:left w:val="single" w:sz="27" w:space="0" w:color="DFDFDF"/>
              <w:right w:val="single" w:sz="27" w:space="0" w:color="DFDFDF"/>
            </w:tcBorders>
            <w:shd w:val="clear" w:color="auto" w:fill="DFDFDF"/>
          </w:tcPr>
          <w:p w:rsidR="00995380" w:rsidRPr="00F91796" w:rsidRDefault="00995380" w:rsidP="000858E1">
            <w:pPr>
              <w:spacing w:before="22" w:line="278" w:lineRule="auto"/>
              <w:ind w:left="17" w:right="46"/>
              <w:jc w:val="center"/>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z w:val="18"/>
                <w:szCs w:val="18"/>
              </w:rPr>
              <w:t>ñ</w:t>
            </w:r>
            <w:r w:rsidRPr="00F91796">
              <w:rPr>
                <w:rFonts w:ascii="Arial" w:eastAsia="Arial" w:hAnsi="Arial" w:cs="Arial"/>
                <w:b/>
                <w:spacing w:val="1"/>
                <w:sz w:val="18"/>
                <w:szCs w:val="18"/>
              </w:rPr>
              <w:t>o</w:t>
            </w:r>
            <w:r w:rsidRPr="00F91796">
              <w:rPr>
                <w:rFonts w:ascii="Arial" w:eastAsia="Arial" w:hAnsi="Arial" w:cs="Arial"/>
                <w:b/>
                <w:sz w:val="18"/>
                <w:szCs w:val="18"/>
              </w:rPr>
              <w:t>s 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v</w:t>
            </w:r>
            <w:r w:rsidRPr="00F91796">
              <w:rPr>
                <w:rFonts w:ascii="Arial" w:eastAsia="Arial" w:hAnsi="Arial" w:cs="Arial"/>
                <w:b/>
                <w:sz w:val="18"/>
                <w:szCs w:val="18"/>
              </w:rPr>
              <w:t>i</w:t>
            </w:r>
            <w:r w:rsidRPr="00F91796">
              <w:rPr>
                <w:rFonts w:ascii="Arial" w:eastAsia="Arial" w:hAnsi="Arial" w:cs="Arial"/>
                <w:b/>
                <w:spacing w:val="1"/>
                <w:sz w:val="18"/>
                <w:szCs w:val="18"/>
              </w:rPr>
              <w:t>d</w:t>
            </w:r>
            <w:r w:rsidRPr="00F91796">
              <w:rPr>
                <w:rFonts w:ascii="Arial" w:eastAsia="Arial" w:hAnsi="Arial" w:cs="Arial"/>
                <w:b/>
                <w:sz w:val="18"/>
                <w:szCs w:val="18"/>
              </w:rPr>
              <w:t>a út</w:t>
            </w:r>
            <w:r w:rsidRPr="00F91796">
              <w:rPr>
                <w:rFonts w:ascii="Arial" w:eastAsia="Arial" w:hAnsi="Arial" w:cs="Arial"/>
                <w:b/>
                <w:spacing w:val="1"/>
                <w:sz w:val="18"/>
                <w:szCs w:val="18"/>
              </w:rPr>
              <w:t>i</w:t>
            </w:r>
            <w:r w:rsidRPr="00F91796">
              <w:rPr>
                <w:rFonts w:ascii="Arial" w:eastAsia="Arial" w:hAnsi="Arial" w:cs="Arial"/>
                <w:b/>
                <w:sz w:val="18"/>
                <w:szCs w:val="18"/>
              </w:rPr>
              <w:t>l</w:t>
            </w:r>
          </w:p>
        </w:tc>
        <w:tc>
          <w:tcPr>
            <w:tcW w:w="87" w:type="dxa"/>
            <w:vMerge w:val="restart"/>
            <w:tcBorders>
              <w:top w:val="nil"/>
              <w:left w:val="single" w:sz="27" w:space="0" w:color="DFDFDF"/>
              <w:right w:val="single" w:sz="27" w:space="0" w:color="DFDFDF"/>
            </w:tcBorders>
          </w:tcPr>
          <w:p w:rsidR="00995380" w:rsidRPr="00F91796" w:rsidRDefault="00995380" w:rsidP="000858E1"/>
        </w:tc>
        <w:tc>
          <w:tcPr>
            <w:tcW w:w="1307" w:type="dxa"/>
            <w:vMerge w:val="restart"/>
            <w:tcBorders>
              <w:top w:val="single" w:sz="7" w:space="0" w:color="000000"/>
              <w:left w:val="single" w:sz="27" w:space="0" w:color="DFDFDF"/>
              <w:right w:val="single" w:sz="27" w:space="0" w:color="DFDFDF"/>
            </w:tcBorders>
            <w:shd w:val="clear" w:color="auto" w:fill="DFDFDF"/>
          </w:tcPr>
          <w:p w:rsidR="00995380" w:rsidRPr="00F91796" w:rsidRDefault="00995380" w:rsidP="000858E1">
            <w:pPr>
              <w:spacing w:before="22" w:line="278" w:lineRule="auto"/>
              <w:ind w:left="34" w:right="101" w:firstLine="2"/>
              <w:jc w:val="center"/>
              <w:rPr>
                <w:rFonts w:ascii="Arial" w:eastAsia="Arial" w:hAnsi="Arial" w:cs="Arial"/>
                <w:sz w:val="18"/>
                <w:szCs w:val="18"/>
              </w:rPr>
            </w:pPr>
            <w:r w:rsidRPr="00F91796">
              <w:rPr>
                <w:rFonts w:ascii="Arial" w:eastAsia="Arial" w:hAnsi="Arial" w:cs="Arial"/>
                <w:b/>
                <w:sz w:val="18"/>
                <w:szCs w:val="18"/>
              </w:rPr>
              <w:t>%</w:t>
            </w:r>
            <w:r w:rsidRPr="00F91796">
              <w:rPr>
                <w:rFonts w:ascii="Arial" w:eastAsia="Arial" w:hAnsi="Arial" w:cs="Arial"/>
                <w:b/>
                <w:spacing w:val="-4"/>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 d</w:t>
            </w:r>
            <w:r w:rsidRPr="00F91796">
              <w:rPr>
                <w:rFonts w:ascii="Arial" w:eastAsia="Arial" w:hAnsi="Arial" w:cs="Arial"/>
                <w:b/>
                <w:spacing w:val="1"/>
                <w:sz w:val="18"/>
                <w:szCs w:val="18"/>
              </w:rPr>
              <w:t>e</w:t>
            </w:r>
            <w:r w:rsidRPr="00F91796">
              <w:rPr>
                <w:rFonts w:ascii="Arial" w:eastAsia="Arial" w:hAnsi="Arial" w:cs="Arial"/>
                <w:b/>
                <w:sz w:val="18"/>
                <w:szCs w:val="18"/>
              </w:rPr>
              <w:t>pr</w:t>
            </w:r>
            <w:r w:rsidRPr="00F91796">
              <w:rPr>
                <w:rFonts w:ascii="Arial" w:eastAsia="Arial" w:hAnsi="Arial" w:cs="Arial"/>
                <w:b/>
                <w:spacing w:val="1"/>
                <w:sz w:val="18"/>
                <w:szCs w:val="18"/>
              </w:rPr>
              <w:t>ec</w:t>
            </w:r>
            <w:r w:rsidRPr="00F91796">
              <w:rPr>
                <w:rFonts w:ascii="Arial" w:eastAsia="Arial" w:hAnsi="Arial" w:cs="Arial"/>
                <w:b/>
                <w:sz w:val="18"/>
                <w:szCs w:val="18"/>
              </w:rPr>
              <w:t>i</w:t>
            </w:r>
            <w:r w:rsidRPr="00F91796">
              <w:rPr>
                <w:rFonts w:ascii="Arial" w:eastAsia="Arial" w:hAnsi="Arial" w:cs="Arial"/>
                <w:b/>
                <w:spacing w:val="-1"/>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1"/>
                <w:sz w:val="18"/>
                <w:szCs w:val="18"/>
              </w:rPr>
              <w:t>ó</w:t>
            </w:r>
            <w:r w:rsidRPr="00F91796">
              <w:rPr>
                <w:rFonts w:ascii="Arial" w:eastAsia="Arial" w:hAnsi="Arial" w:cs="Arial"/>
                <w:b/>
                <w:sz w:val="18"/>
                <w:szCs w:val="18"/>
              </w:rPr>
              <w:t xml:space="preserve">n </w:t>
            </w:r>
            <w:r w:rsidRPr="00F91796">
              <w:rPr>
                <w:rFonts w:ascii="Arial" w:eastAsia="Arial" w:hAnsi="Arial" w:cs="Arial"/>
                <w:b/>
                <w:spacing w:val="1"/>
                <w:sz w:val="18"/>
                <w:szCs w:val="18"/>
              </w:rPr>
              <w:t>a</w:t>
            </w:r>
            <w:r w:rsidRPr="00F91796">
              <w:rPr>
                <w:rFonts w:ascii="Arial" w:eastAsia="Arial" w:hAnsi="Arial" w:cs="Arial"/>
                <w:b/>
                <w:sz w:val="18"/>
                <w:szCs w:val="18"/>
              </w:rPr>
              <w:t>n</w:t>
            </w:r>
            <w:r w:rsidRPr="00F91796">
              <w:rPr>
                <w:rFonts w:ascii="Arial" w:eastAsia="Arial" w:hAnsi="Arial" w:cs="Arial"/>
                <w:b/>
                <w:spacing w:val="1"/>
                <w:sz w:val="18"/>
                <w:szCs w:val="18"/>
              </w:rPr>
              <w:t>ua</w:t>
            </w:r>
            <w:r w:rsidRPr="00F91796">
              <w:rPr>
                <w:rFonts w:ascii="Arial" w:eastAsia="Arial" w:hAnsi="Arial" w:cs="Arial"/>
                <w:b/>
                <w:sz w:val="18"/>
                <w:szCs w:val="18"/>
              </w:rPr>
              <w:t>l</w:t>
            </w:r>
          </w:p>
        </w:tc>
      </w:tr>
      <w:tr w:rsidR="00995380" w:rsidRPr="00F91796" w:rsidTr="000858E1">
        <w:trPr>
          <w:trHeight w:hRule="exact" w:val="343"/>
        </w:trPr>
        <w:tc>
          <w:tcPr>
            <w:tcW w:w="72" w:type="dxa"/>
            <w:tcBorders>
              <w:top w:val="nil"/>
              <w:left w:val="single" w:sz="27" w:space="0" w:color="DFDFDF"/>
              <w:bottom w:val="nil"/>
              <w:right w:val="nil"/>
            </w:tcBorders>
          </w:tcPr>
          <w:p w:rsidR="00995380" w:rsidRPr="00F91796" w:rsidRDefault="00995380" w:rsidP="000858E1"/>
        </w:tc>
        <w:tc>
          <w:tcPr>
            <w:tcW w:w="910" w:type="dxa"/>
            <w:tcBorders>
              <w:top w:val="nil"/>
              <w:left w:val="nil"/>
              <w:bottom w:val="nil"/>
              <w:right w:val="single" w:sz="27" w:space="0" w:color="DFDFDF"/>
            </w:tcBorders>
            <w:shd w:val="clear" w:color="auto" w:fill="DFDFDF"/>
          </w:tcPr>
          <w:p w:rsidR="00995380" w:rsidRPr="00F91796" w:rsidRDefault="00995380" w:rsidP="000858E1">
            <w:pPr>
              <w:spacing w:before="23"/>
              <w:ind w:left="113"/>
              <w:rPr>
                <w:rFonts w:ascii="Arial" w:eastAsia="Arial" w:hAnsi="Arial" w:cs="Arial"/>
                <w:sz w:val="18"/>
                <w:szCs w:val="18"/>
              </w:rPr>
            </w:pPr>
            <w:r w:rsidRPr="00F91796">
              <w:rPr>
                <w:rFonts w:ascii="Arial" w:eastAsia="Arial" w:hAnsi="Arial" w:cs="Arial"/>
                <w:b/>
                <w:sz w:val="18"/>
                <w:szCs w:val="18"/>
              </w:rPr>
              <w:t>Cu</w:t>
            </w:r>
            <w:r w:rsidRPr="00F91796">
              <w:rPr>
                <w:rFonts w:ascii="Arial" w:eastAsia="Arial" w:hAnsi="Arial" w:cs="Arial"/>
                <w:b/>
                <w:spacing w:val="1"/>
                <w:sz w:val="18"/>
                <w:szCs w:val="18"/>
              </w:rPr>
              <w:t>e</w:t>
            </w:r>
            <w:r w:rsidRPr="00F91796">
              <w:rPr>
                <w:rFonts w:ascii="Arial" w:eastAsia="Arial" w:hAnsi="Arial" w:cs="Arial"/>
                <w:b/>
                <w:sz w:val="18"/>
                <w:szCs w:val="18"/>
              </w:rPr>
              <w:t>nta</w:t>
            </w:r>
          </w:p>
        </w:tc>
        <w:tc>
          <w:tcPr>
            <w:tcW w:w="72" w:type="dxa"/>
            <w:tcBorders>
              <w:top w:val="nil"/>
              <w:left w:val="single" w:sz="27" w:space="0" w:color="DFDFDF"/>
              <w:bottom w:val="nil"/>
              <w:right w:val="nil"/>
            </w:tcBorders>
          </w:tcPr>
          <w:p w:rsidR="00995380" w:rsidRPr="00F91796" w:rsidRDefault="00995380" w:rsidP="000858E1"/>
        </w:tc>
        <w:tc>
          <w:tcPr>
            <w:tcW w:w="5455" w:type="dxa"/>
            <w:tcBorders>
              <w:top w:val="nil"/>
              <w:left w:val="nil"/>
              <w:bottom w:val="nil"/>
              <w:right w:val="single" w:sz="27" w:space="0" w:color="DFDFDF"/>
            </w:tcBorders>
            <w:shd w:val="clear" w:color="auto" w:fill="DFDFDF"/>
          </w:tcPr>
          <w:p w:rsidR="00995380" w:rsidRPr="00F91796" w:rsidRDefault="00995380" w:rsidP="000858E1">
            <w:pPr>
              <w:spacing w:before="23"/>
              <w:ind w:left="2262" w:right="2262"/>
              <w:jc w:val="center"/>
              <w:rPr>
                <w:rFonts w:ascii="Arial" w:eastAsia="Arial" w:hAnsi="Arial" w:cs="Arial"/>
                <w:sz w:val="18"/>
                <w:szCs w:val="18"/>
              </w:rPr>
            </w:pPr>
            <w:r w:rsidRPr="00F91796">
              <w:rPr>
                <w:rFonts w:ascii="Arial" w:eastAsia="Arial" w:hAnsi="Arial" w:cs="Arial"/>
                <w:b/>
                <w:sz w:val="18"/>
                <w:szCs w:val="18"/>
              </w:rPr>
              <w:t>Con</w:t>
            </w:r>
            <w:r w:rsidRPr="00F91796">
              <w:rPr>
                <w:rFonts w:ascii="Arial" w:eastAsia="Arial" w:hAnsi="Arial" w:cs="Arial"/>
                <w:b/>
                <w:spacing w:val="1"/>
                <w:sz w:val="18"/>
                <w:szCs w:val="18"/>
              </w:rPr>
              <w:t>ce</w:t>
            </w:r>
            <w:r w:rsidRPr="00F91796">
              <w:rPr>
                <w:rFonts w:ascii="Arial" w:eastAsia="Arial" w:hAnsi="Arial" w:cs="Arial"/>
                <w:b/>
                <w:sz w:val="18"/>
                <w:szCs w:val="18"/>
              </w:rPr>
              <w:t>pto</w:t>
            </w:r>
          </w:p>
        </w:tc>
        <w:tc>
          <w:tcPr>
            <w:tcW w:w="87" w:type="dxa"/>
            <w:gridSpan w:val="2"/>
            <w:tcBorders>
              <w:top w:val="nil"/>
              <w:left w:val="single" w:sz="27" w:space="0" w:color="DFDFDF"/>
              <w:bottom w:val="nil"/>
              <w:right w:val="single" w:sz="27" w:space="0" w:color="DFDFDF"/>
            </w:tcBorders>
          </w:tcPr>
          <w:p w:rsidR="00995380" w:rsidRPr="00F91796" w:rsidRDefault="00995380" w:rsidP="000858E1"/>
        </w:tc>
        <w:tc>
          <w:tcPr>
            <w:tcW w:w="781" w:type="dxa"/>
            <w:gridSpan w:val="2"/>
            <w:vMerge/>
            <w:tcBorders>
              <w:left w:val="single" w:sz="27" w:space="0" w:color="DFDFDF"/>
              <w:right w:val="single" w:sz="27" w:space="0" w:color="DFDFDF"/>
            </w:tcBorders>
            <w:shd w:val="clear" w:color="auto" w:fill="DFDFDF"/>
          </w:tcPr>
          <w:p w:rsidR="00995380" w:rsidRPr="00F91796" w:rsidRDefault="00995380" w:rsidP="000858E1"/>
        </w:tc>
        <w:tc>
          <w:tcPr>
            <w:tcW w:w="87" w:type="dxa"/>
            <w:vMerge/>
            <w:tcBorders>
              <w:left w:val="single" w:sz="27" w:space="0" w:color="DFDFDF"/>
              <w:right w:val="single" w:sz="27" w:space="0" w:color="DFDFDF"/>
            </w:tcBorders>
          </w:tcPr>
          <w:p w:rsidR="00995380" w:rsidRPr="00F91796" w:rsidRDefault="00995380" w:rsidP="000858E1"/>
        </w:tc>
        <w:tc>
          <w:tcPr>
            <w:tcW w:w="1307" w:type="dxa"/>
            <w:vMerge/>
            <w:tcBorders>
              <w:left w:val="single" w:sz="27" w:space="0" w:color="DFDFDF"/>
              <w:right w:val="single" w:sz="27" w:space="0" w:color="DFDFDF"/>
            </w:tcBorders>
            <w:shd w:val="clear" w:color="auto" w:fill="DFDFDF"/>
          </w:tcPr>
          <w:p w:rsidR="00995380" w:rsidRPr="00F91796" w:rsidRDefault="00995380" w:rsidP="000858E1"/>
        </w:tc>
      </w:tr>
      <w:tr w:rsidR="00995380" w:rsidRPr="00F91796" w:rsidTr="000858E1">
        <w:trPr>
          <w:trHeight w:hRule="exact" w:val="248"/>
        </w:trPr>
        <w:tc>
          <w:tcPr>
            <w:tcW w:w="982" w:type="dxa"/>
            <w:gridSpan w:val="2"/>
            <w:tcBorders>
              <w:top w:val="nil"/>
              <w:left w:val="single" w:sz="7" w:space="0" w:color="000000"/>
              <w:bottom w:val="single" w:sz="7" w:space="0" w:color="000000"/>
              <w:right w:val="single" w:sz="7" w:space="0" w:color="000000"/>
            </w:tcBorders>
            <w:shd w:val="clear" w:color="auto" w:fill="DFDFDF"/>
          </w:tcPr>
          <w:p w:rsidR="00995380" w:rsidRPr="00F91796" w:rsidRDefault="00995380" w:rsidP="000858E1"/>
        </w:tc>
        <w:tc>
          <w:tcPr>
            <w:tcW w:w="5614" w:type="dxa"/>
            <w:gridSpan w:val="4"/>
            <w:tcBorders>
              <w:top w:val="nil"/>
              <w:left w:val="single" w:sz="7" w:space="0" w:color="000000"/>
              <w:bottom w:val="single" w:sz="7" w:space="0" w:color="000000"/>
              <w:right w:val="single" w:sz="27" w:space="0" w:color="DFDFDF"/>
            </w:tcBorders>
            <w:shd w:val="clear" w:color="auto" w:fill="DFDFDF"/>
          </w:tcPr>
          <w:p w:rsidR="00995380" w:rsidRPr="00F91796" w:rsidRDefault="00995380" w:rsidP="000858E1"/>
        </w:tc>
        <w:tc>
          <w:tcPr>
            <w:tcW w:w="781" w:type="dxa"/>
            <w:gridSpan w:val="2"/>
            <w:vMerge/>
            <w:tcBorders>
              <w:left w:val="single" w:sz="27" w:space="0" w:color="DFDFDF"/>
              <w:bottom w:val="single" w:sz="7" w:space="0" w:color="000000"/>
              <w:right w:val="single" w:sz="27" w:space="0" w:color="DFDFDF"/>
            </w:tcBorders>
            <w:shd w:val="clear" w:color="auto" w:fill="DFDFDF"/>
          </w:tcPr>
          <w:p w:rsidR="00995380" w:rsidRPr="00F91796" w:rsidRDefault="00995380" w:rsidP="000858E1"/>
        </w:tc>
        <w:tc>
          <w:tcPr>
            <w:tcW w:w="87" w:type="dxa"/>
            <w:vMerge/>
            <w:tcBorders>
              <w:left w:val="single" w:sz="27" w:space="0" w:color="DFDFDF"/>
              <w:bottom w:val="nil"/>
              <w:right w:val="single" w:sz="27" w:space="0" w:color="DFDFDF"/>
            </w:tcBorders>
          </w:tcPr>
          <w:p w:rsidR="00995380" w:rsidRPr="00F91796" w:rsidRDefault="00995380" w:rsidP="000858E1"/>
        </w:tc>
        <w:tc>
          <w:tcPr>
            <w:tcW w:w="1307" w:type="dxa"/>
            <w:vMerge/>
            <w:tcBorders>
              <w:left w:val="single" w:sz="27" w:space="0" w:color="DFDFDF"/>
              <w:bottom w:val="single" w:sz="7" w:space="0" w:color="000000"/>
              <w:right w:val="single" w:sz="27" w:space="0" w:color="DFDFDF"/>
            </w:tcBorders>
            <w:shd w:val="clear" w:color="auto" w:fill="DFDFDF"/>
          </w:tcPr>
          <w:p w:rsidR="00995380" w:rsidRPr="00F91796" w:rsidRDefault="00995380" w:rsidP="000858E1"/>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.3</w:t>
            </w:r>
          </w:p>
        </w:tc>
        <w:tc>
          <w:tcPr>
            <w:tcW w:w="7789" w:type="dxa"/>
            <w:gridSpan w:val="8"/>
            <w:tcBorders>
              <w:top w:val="nil"/>
              <w:left w:val="single" w:sz="7" w:space="0" w:color="000000"/>
              <w:bottom w:val="nil"/>
              <w:right w:val="single" w:sz="7" w:space="0" w:color="000000"/>
            </w:tcBorders>
          </w:tcPr>
          <w:p w:rsidR="00995380" w:rsidRPr="00F91796" w:rsidRDefault="00995380" w:rsidP="000858E1">
            <w:pPr>
              <w:spacing w:before="30"/>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M</w:t>
            </w:r>
            <w:r w:rsidRPr="00F91796">
              <w:rPr>
                <w:rFonts w:ascii="Arial" w:eastAsia="Arial" w:hAnsi="Arial" w:cs="Arial"/>
                <w:b/>
                <w:sz w:val="18"/>
                <w:szCs w:val="18"/>
              </w:rPr>
              <w:t>UE</w:t>
            </w:r>
            <w:r w:rsidRPr="00F91796">
              <w:rPr>
                <w:rFonts w:ascii="Arial" w:eastAsia="Arial" w:hAnsi="Arial" w:cs="Arial"/>
                <w:b/>
                <w:spacing w:val="-1"/>
                <w:sz w:val="18"/>
                <w:szCs w:val="18"/>
              </w:rPr>
              <w:t>B</w:t>
            </w:r>
            <w:r w:rsidRPr="00F91796">
              <w:rPr>
                <w:rFonts w:ascii="Arial" w:eastAsia="Arial" w:hAnsi="Arial" w:cs="Arial"/>
                <w:b/>
                <w:sz w:val="18"/>
                <w:szCs w:val="18"/>
              </w:rPr>
              <w:t>LES,</w:t>
            </w:r>
            <w:r w:rsidRPr="00F91796">
              <w:rPr>
                <w:rFonts w:ascii="Arial" w:eastAsia="Arial" w:hAnsi="Arial" w:cs="Arial"/>
                <w:b/>
                <w:spacing w:val="1"/>
                <w:sz w:val="18"/>
                <w:szCs w:val="18"/>
              </w:rPr>
              <w:t xml:space="preserve"> I</w:t>
            </w:r>
            <w:r w:rsidRPr="00F91796">
              <w:rPr>
                <w:rFonts w:ascii="Arial" w:eastAsia="Arial" w:hAnsi="Arial" w:cs="Arial"/>
                <w:b/>
                <w:sz w:val="18"/>
                <w:szCs w:val="18"/>
              </w:rPr>
              <w:t>NFR</w:t>
            </w:r>
            <w:r w:rsidRPr="00F91796">
              <w:rPr>
                <w:rFonts w:ascii="Arial" w:eastAsia="Arial" w:hAnsi="Arial" w:cs="Arial"/>
                <w:b/>
                <w:spacing w:val="-1"/>
                <w:sz w:val="18"/>
                <w:szCs w:val="18"/>
              </w:rPr>
              <w:t>A</w:t>
            </w:r>
            <w:r w:rsidRPr="00F91796">
              <w:rPr>
                <w:rFonts w:ascii="Arial" w:eastAsia="Arial" w:hAnsi="Arial" w:cs="Arial"/>
                <w:b/>
                <w:sz w:val="18"/>
                <w:szCs w:val="18"/>
              </w:rPr>
              <w:t>ESTRU</w:t>
            </w:r>
            <w:r w:rsidRPr="00F91796">
              <w:rPr>
                <w:rFonts w:ascii="Arial" w:eastAsia="Arial" w:hAnsi="Arial" w:cs="Arial"/>
                <w:b/>
                <w:spacing w:val="-1"/>
                <w:sz w:val="18"/>
                <w:szCs w:val="18"/>
              </w:rPr>
              <w:t>C</w:t>
            </w:r>
            <w:r w:rsidRPr="00F91796">
              <w:rPr>
                <w:rFonts w:ascii="Arial" w:eastAsia="Arial" w:hAnsi="Arial" w:cs="Arial"/>
                <w:b/>
                <w:sz w:val="18"/>
                <w:szCs w:val="18"/>
              </w:rPr>
              <w:t>TU</w:t>
            </w:r>
            <w:r w:rsidRPr="00F91796">
              <w:rPr>
                <w:rFonts w:ascii="Arial" w:eastAsia="Arial" w:hAnsi="Arial" w:cs="Arial"/>
                <w:b/>
                <w:spacing w:val="2"/>
                <w:sz w:val="18"/>
                <w:szCs w:val="18"/>
              </w:rPr>
              <w:t>R</w:t>
            </w:r>
            <w:r w:rsidRPr="00F91796">
              <w:rPr>
                <w:rFonts w:ascii="Arial" w:eastAsia="Arial" w:hAnsi="Arial" w:cs="Arial"/>
                <w:b/>
                <w:sz w:val="18"/>
                <w:szCs w:val="18"/>
              </w:rPr>
              <w:t>A</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1"/>
                <w:sz w:val="18"/>
                <w:szCs w:val="18"/>
              </w:rPr>
              <w:t xml:space="preserve"> </w:t>
            </w:r>
            <w:r w:rsidRPr="00F91796">
              <w:rPr>
                <w:rFonts w:ascii="Arial" w:eastAsia="Arial" w:hAnsi="Arial" w:cs="Arial"/>
                <w:b/>
                <w:sz w:val="18"/>
                <w:szCs w:val="18"/>
              </w:rPr>
              <w:t>C</w:t>
            </w:r>
            <w:r w:rsidRPr="00F91796">
              <w:rPr>
                <w:rFonts w:ascii="Arial" w:eastAsia="Arial" w:hAnsi="Arial" w:cs="Arial"/>
                <w:b/>
                <w:spacing w:val="-1"/>
                <w:sz w:val="18"/>
                <w:szCs w:val="18"/>
              </w:rPr>
              <w:t>O</w:t>
            </w:r>
            <w:r w:rsidRPr="00F91796">
              <w:rPr>
                <w:rFonts w:ascii="Arial" w:eastAsia="Arial" w:hAnsi="Arial" w:cs="Arial"/>
                <w:b/>
                <w:sz w:val="18"/>
                <w:szCs w:val="18"/>
              </w:rPr>
              <w:t>NSTR</w:t>
            </w:r>
            <w:r w:rsidRPr="00F91796">
              <w:rPr>
                <w:rFonts w:ascii="Arial" w:eastAsia="Arial" w:hAnsi="Arial" w:cs="Arial"/>
                <w:b/>
                <w:spacing w:val="1"/>
                <w:sz w:val="18"/>
                <w:szCs w:val="18"/>
              </w:rPr>
              <w:t>U</w:t>
            </w:r>
            <w:r w:rsidRPr="00F91796">
              <w:rPr>
                <w:rFonts w:ascii="Arial" w:eastAsia="Arial" w:hAnsi="Arial" w:cs="Arial"/>
                <w:b/>
                <w:sz w:val="18"/>
                <w:szCs w:val="18"/>
              </w:rPr>
              <w:t>C</w:t>
            </w:r>
            <w:r w:rsidRPr="00F91796">
              <w:rPr>
                <w:rFonts w:ascii="Arial" w:eastAsia="Arial" w:hAnsi="Arial" w:cs="Arial"/>
                <w:b/>
                <w:spacing w:val="-1"/>
                <w:sz w:val="18"/>
                <w:szCs w:val="18"/>
              </w:rPr>
              <w:t>C</w:t>
            </w:r>
            <w:r w:rsidRPr="00F91796">
              <w:rPr>
                <w:rFonts w:ascii="Arial" w:eastAsia="Arial" w:hAnsi="Arial" w:cs="Arial"/>
                <w:b/>
                <w:sz w:val="18"/>
                <w:szCs w:val="18"/>
              </w:rPr>
              <w:t>IO</w:t>
            </w:r>
            <w:r w:rsidRPr="00F91796">
              <w:rPr>
                <w:rFonts w:ascii="Arial" w:eastAsia="Arial" w:hAnsi="Arial" w:cs="Arial"/>
                <w:b/>
                <w:spacing w:val="-1"/>
                <w:sz w:val="18"/>
                <w:szCs w:val="18"/>
              </w:rPr>
              <w:t>N</w:t>
            </w:r>
            <w:r w:rsidRPr="00F91796">
              <w:rPr>
                <w:rFonts w:ascii="Arial" w:eastAsia="Arial" w:hAnsi="Arial" w:cs="Arial"/>
                <w:b/>
                <w:sz w:val="18"/>
                <w:szCs w:val="18"/>
              </w:rPr>
              <w:t>ES EN PR</w:t>
            </w:r>
            <w:r w:rsidRPr="00F91796">
              <w:rPr>
                <w:rFonts w:ascii="Arial" w:eastAsia="Arial" w:hAnsi="Arial" w:cs="Arial"/>
                <w:b/>
                <w:spacing w:val="-1"/>
                <w:sz w:val="18"/>
                <w:szCs w:val="18"/>
              </w:rPr>
              <w:t>O</w:t>
            </w:r>
            <w:r w:rsidRPr="00F91796">
              <w:rPr>
                <w:rFonts w:ascii="Arial" w:eastAsia="Arial" w:hAnsi="Arial" w:cs="Arial"/>
                <w:b/>
                <w:sz w:val="18"/>
                <w:szCs w:val="18"/>
              </w:rPr>
              <w:t>CE</w:t>
            </w:r>
            <w:r w:rsidRPr="00F91796">
              <w:rPr>
                <w:rFonts w:ascii="Arial" w:eastAsia="Arial" w:hAnsi="Arial" w:cs="Arial"/>
                <w:b/>
                <w:spacing w:val="2"/>
                <w:sz w:val="18"/>
                <w:szCs w:val="18"/>
              </w:rPr>
              <w:t>S</w:t>
            </w:r>
            <w:r w:rsidRPr="00F91796">
              <w:rPr>
                <w:rFonts w:ascii="Arial" w:eastAsia="Arial" w:hAnsi="Arial" w:cs="Arial"/>
                <w:b/>
                <w:sz w:val="18"/>
                <w:szCs w:val="18"/>
              </w:rPr>
              <w:t>O</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iend</w:t>
            </w:r>
            <w:r w:rsidRPr="00F91796">
              <w:rPr>
                <w:rFonts w:ascii="Arial" w:eastAsia="Arial" w:hAnsi="Arial" w:cs="Arial"/>
                <w:spacing w:val="-2"/>
                <w:sz w:val="18"/>
                <w:szCs w:val="18"/>
              </w:rPr>
              <w:t>a</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50</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80" w:right="581"/>
              <w:jc w:val="center"/>
              <w:rPr>
                <w:rFonts w:ascii="Arial" w:eastAsia="Arial" w:hAnsi="Arial" w:cs="Arial"/>
                <w:sz w:val="18"/>
                <w:szCs w:val="18"/>
              </w:rPr>
            </w:pPr>
            <w:r w:rsidRPr="00F91796">
              <w:rPr>
                <w:rFonts w:ascii="Arial" w:eastAsia="Arial" w:hAnsi="Arial" w:cs="Arial"/>
                <w:sz w:val="18"/>
                <w:szCs w:val="18"/>
              </w:rPr>
              <w:t>2</w:t>
            </w:r>
          </w:p>
        </w:tc>
      </w:tr>
      <w:tr w:rsidR="00995380" w:rsidRPr="00F91796" w:rsidTr="000858E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di</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No</w:t>
            </w:r>
            <w:r w:rsidRPr="00F91796">
              <w:rPr>
                <w:rFonts w:ascii="Arial" w:eastAsia="Arial" w:hAnsi="Arial" w:cs="Arial"/>
                <w:spacing w:val="1"/>
                <w:sz w:val="18"/>
                <w:szCs w:val="18"/>
              </w:rPr>
              <w:t xml:space="preserve"> </w:t>
            </w:r>
            <w:r w:rsidRPr="00F91796">
              <w:rPr>
                <w:rFonts w:ascii="Arial" w:eastAsia="Arial" w:hAnsi="Arial" w:cs="Arial"/>
                <w:sz w:val="18"/>
                <w:szCs w:val="18"/>
              </w:rPr>
              <w:t>H</w:t>
            </w:r>
            <w:r w:rsidRPr="00F91796">
              <w:rPr>
                <w:rFonts w:ascii="Arial" w:eastAsia="Arial" w:hAnsi="Arial" w:cs="Arial"/>
                <w:spacing w:val="-2"/>
                <w:sz w:val="18"/>
                <w:szCs w:val="18"/>
              </w:rPr>
              <w:t>a</w:t>
            </w:r>
            <w:r w:rsidRPr="00F91796">
              <w:rPr>
                <w:rFonts w:ascii="Arial" w:eastAsia="Arial" w:hAnsi="Arial" w:cs="Arial"/>
                <w:spacing w:val="1"/>
                <w:sz w:val="18"/>
                <w:szCs w:val="18"/>
              </w:rPr>
              <w:t>bi</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pacing w:val="-2"/>
                <w:sz w:val="18"/>
                <w:szCs w:val="18"/>
              </w:rPr>
              <w:t>l</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30</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06" w:right="504"/>
              <w:jc w:val="center"/>
              <w:rPr>
                <w:rFonts w:ascii="Arial" w:eastAsia="Arial" w:hAnsi="Arial" w:cs="Arial"/>
                <w:sz w:val="18"/>
                <w:szCs w:val="18"/>
              </w:rPr>
            </w:pPr>
            <w:r w:rsidRPr="00F91796">
              <w:rPr>
                <w:rFonts w:ascii="Arial" w:eastAsia="Arial" w:hAnsi="Arial" w:cs="Arial"/>
                <w:spacing w:val="1"/>
                <w:sz w:val="18"/>
                <w:szCs w:val="18"/>
              </w:rPr>
              <w:t>3</w:t>
            </w:r>
            <w:r w:rsidRPr="00F91796">
              <w:rPr>
                <w:rFonts w:ascii="Arial" w:eastAsia="Arial" w:hAnsi="Arial" w:cs="Arial"/>
                <w:sz w:val="18"/>
                <w:szCs w:val="18"/>
              </w:rPr>
              <w:t>.3</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4</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fr</w:t>
            </w:r>
            <w:r w:rsidRPr="00F91796">
              <w:rPr>
                <w:rFonts w:ascii="Arial" w:eastAsia="Arial" w:hAnsi="Arial" w:cs="Arial"/>
                <w:spacing w:val="1"/>
                <w:sz w:val="18"/>
                <w:szCs w:val="18"/>
              </w:rPr>
              <w:t>a</w:t>
            </w:r>
            <w:r w:rsidRPr="00F91796">
              <w:rPr>
                <w:rFonts w:ascii="Arial" w:eastAsia="Arial" w:hAnsi="Arial" w:cs="Arial"/>
                <w:spacing w:val="-2"/>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c</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80" w:right="581"/>
              <w:jc w:val="center"/>
              <w:rPr>
                <w:rFonts w:ascii="Arial" w:eastAsia="Arial" w:hAnsi="Arial" w:cs="Arial"/>
                <w:sz w:val="18"/>
                <w:szCs w:val="18"/>
              </w:rPr>
            </w:pPr>
            <w:r w:rsidRPr="00F91796">
              <w:rPr>
                <w:rFonts w:ascii="Arial" w:eastAsia="Arial" w:hAnsi="Arial" w:cs="Arial"/>
                <w:sz w:val="18"/>
                <w:szCs w:val="18"/>
              </w:rPr>
              <w:t>4</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2"/>
                <w:sz w:val="18"/>
                <w:szCs w:val="18"/>
              </w:rPr>
              <w:t>e</w:t>
            </w:r>
            <w:r w:rsidRPr="00F91796">
              <w:rPr>
                <w:rFonts w:ascii="Arial" w:eastAsia="Arial" w:hAnsi="Arial" w:cs="Arial"/>
                <w:spacing w:val="1"/>
                <w:sz w:val="18"/>
                <w:szCs w:val="18"/>
              </w:rPr>
              <w:t>ne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mue</w:t>
            </w:r>
            <w:r w:rsidRPr="00F91796">
              <w:rPr>
                <w:rFonts w:ascii="Arial" w:eastAsia="Arial" w:hAnsi="Arial" w:cs="Arial"/>
                <w:spacing w:val="-2"/>
                <w:sz w:val="18"/>
                <w:szCs w:val="18"/>
              </w:rPr>
              <w:t>b</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20</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80" w:right="581"/>
              <w:jc w:val="center"/>
              <w:rPr>
                <w:rFonts w:ascii="Arial" w:eastAsia="Arial" w:hAnsi="Arial" w:cs="Arial"/>
                <w:sz w:val="18"/>
                <w:szCs w:val="18"/>
              </w:rPr>
            </w:pPr>
            <w:r w:rsidRPr="00F91796">
              <w:rPr>
                <w:rFonts w:ascii="Arial" w:eastAsia="Arial" w:hAnsi="Arial" w:cs="Arial"/>
                <w:sz w:val="18"/>
                <w:szCs w:val="18"/>
              </w:rPr>
              <w:t>5</w:t>
            </w:r>
          </w:p>
        </w:tc>
      </w:tr>
      <w:tr w:rsidR="00995380" w:rsidRPr="00F91796" w:rsidTr="000858E1">
        <w:trPr>
          <w:trHeight w:hRule="exact" w:val="358"/>
        </w:trPr>
        <w:tc>
          <w:tcPr>
            <w:tcW w:w="8771" w:type="dxa"/>
            <w:gridSpan w:val="10"/>
            <w:tcBorders>
              <w:top w:val="single" w:sz="7" w:space="0" w:color="000000"/>
              <w:left w:val="single" w:sz="7" w:space="0" w:color="000000"/>
              <w:bottom w:val="single" w:sz="7" w:space="0" w:color="000000"/>
              <w:right w:val="single" w:sz="7" w:space="0" w:color="000000"/>
            </w:tcBorders>
          </w:tcPr>
          <w:p w:rsidR="00995380" w:rsidRPr="00F91796" w:rsidRDefault="00995380" w:rsidP="000858E1"/>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.4</w:t>
            </w:r>
          </w:p>
        </w:tc>
        <w:tc>
          <w:tcPr>
            <w:tcW w:w="7789" w:type="dxa"/>
            <w:gridSpan w:val="8"/>
            <w:tcBorders>
              <w:top w:val="single" w:sz="7" w:space="0" w:color="000000"/>
              <w:left w:val="single" w:sz="7" w:space="0" w:color="000000"/>
              <w:bottom w:val="nil"/>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M</w:t>
            </w:r>
            <w:r w:rsidRPr="00F91796">
              <w:rPr>
                <w:rFonts w:ascii="Arial" w:eastAsia="Arial" w:hAnsi="Arial" w:cs="Arial"/>
                <w:b/>
                <w:sz w:val="18"/>
                <w:szCs w:val="18"/>
              </w:rPr>
              <w:t>UEBLES</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d</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pacing w:val="-2"/>
                <w:sz w:val="18"/>
                <w:szCs w:val="18"/>
              </w:rPr>
              <w:t>A</w:t>
            </w:r>
            <w:r w:rsidRPr="00F91796">
              <w:rPr>
                <w:rFonts w:ascii="Arial" w:eastAsia="Arial" w:hAnsi="Arial" w:cs="Arial"/>
                <w:b/>
                <w:sz w:val="18"/>
                <w:szCs w:val="18"/>
              </w:rPr>
              <w:t>d</w:t>
            </w:r>
            <w:r w:rsidRPr="00F91796">
              <w:rPr>
                <w:rFonts w:ascii="Arial" w:eastAsia="Arial" w:hAnsi="Arial" w:cs="Arial"/>
                <w:b/>
                <w:spacing w:val="1"/>
                <w:sz w:val="18"/>
                <w:szCs w:val="18"/>
              </w:rPr>
              <w:t>m</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is</w:t>
            </w:r>
            <w:r w:rsidRPr="00F91796">
              <w:rPr>
                <w:rFonts w:ascii="Arial" w:eastAsia="Arial" w:hAnsi="Arial" w:cs="Arial"/>
                <w:b/>
                <w:sz w:val="18"/>
                <w:szCs w:val="18"/>
              </w:rPr>
              <w:t>tra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2"/>
                <w:sz w:val="18"/>
                <w:szCs w:val="18"/>
              </w:rPr>
              <w:t>ó</w:t>
            </w:r>
            <w:r w:rsidRPr="00F91796">
              <w:rPr>
                <w:rFonts w:ascii="Arial" w:eastAsia="Arial" w:hAnsi="Arial" w:cs="Arial"/>
                <w:b/>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tc>
      </w:tr>
      <w:tr w:rsidR="00995380" w:rsidRPr="00F91796" w:rsidTr="000858E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w:t>
            </w:r>
            <w:r w:rsidRPr="00F91796">
              <w:rPr>
                <w:rFonts w:ascii="Arial" w:eastAsia="Arial" w:hAnsi="Arial" w:cs="Arial"/>
                <w:sz w:val="18"/>
                <w:szCs w:val="18"/>
              </w:rPr>
              <w:t>s</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O</w:t>
            </w:r>
            <w:r w:rsidRPr="00F91796">
              <w:rPr>
                <w:rFonts w:ascii="Arial" w:eastAsia="Arial" w:hAnsi="Arial" w:cs="Arial"/>
                <w:spacing w:val="-3"/>
                <w:sz w:val="18"/>
                <w:szCs w:val="18"/>
              </w:rPr>
              <w:t>f</w:t>
            </w:r>
            <w:r w:rsidRPr="00F91796">
              <w:rPr>
                <w:rFonts w:ascii="Arial" w:eastAsia="Arial" w:hAnsi="Arial" w:cs="Arial"/>
                <w:spacing w:val="1"/>
                <w:sz w:val="18"/>
                <w:szCs w:val="18"/>
              </w:rPr>
              <w:t>ic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rí</w:t>
            </w:r>
            <w:r w:rsidRPr="00F91796">
              <w:rPr>
                <w:rFonts w:ascii="Arial" w:eastAsia="Arial" w:hAnsi="Arial" w:cs="Arial"/>
                <w:sz w:val="18"/>
                <w:szCs w:val="18"/>
              </w:rPr>
              <w:t>a</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uebles</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4"/>
                <w:sz w:val="18"/>
                <w:szCs w:val="18"/>
              </w:rPr>
              <w:t>x</w:t>
            </w:r>
            <w:r w:rsidRPr="00F91796">
              <w:rPr>
                <w:rFonts w:ascii="Arial" w:eastAsia="Arial" w:hAnsi="Arial" w:cs="Arial"/>
                <w:spacing w:val="1"/>
                <w:sz w:val="18"/>
                <w:szCs w:val="18"/>
              </w:rPr>
              <w:t>cep</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De</w:t>
            </w:r>
            <w:r w:rsidRPr="00F91796">
              <w:rPr>
                <w:rFonts w:ascii="Arial" w:eastAsia="Arial" w:hAnsi="Arial" w:cs="Arial"/>
                <w:spacing w:val="1"/>
                <w:sz w:val="18"/>
                <w:szCs w:val="18"/>
              </w:rPr>
              <w:t xml:space="preserve"> </w:t>
            </w:r>
            <w:r w:rsidRPr="00F91796">
              <w:rPr>
                <w:rFonts w:ascii="Arial" w:eastAsia="Arial" w:hAnsi="Arial" w:cs="Arial"/>
                <w:sz w:val="18"/>
                <w:szCs w:val="18"/>
              </w:rPr>
              <w:t>Of</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2"/>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ría</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ó</w:t>
            </w:r>
            <w:r w:rsidRPr="00F91796">
              <w:rPr>
                <w:rFonts w:ascii="Arial" w:eastAsia="Arial" w:hAnsi="Arial" w:cs="Arial"/>
                <w:spacing w:val="1"/>
                <w:sz w:val="18"/>
                <w:szCs w:val="18"/>
              </w:rPr>
              <w:t>m</w:t>
            </w:r>
            <w:r w:rsidRPr="00F91796">
              <w:rPr>
                <w:rFonts w:ascii="Arial" w:eastAsia="Arial" w:hAnsi="Arial" w:cs="Arial"/>
                <w:spacing w:val="-2"/>
                <w:sz w:val="18"/>
                <w:szCs w:val="18"/>
              </w:rPr>
              <w:t>p</w:t>
            </w:r>
            <w:r w:rsidRPr="00F91796">
              <w:rPr>
                <w:rFonts w:ascii="Arial" w:eastAsia="Arial" w:hAnsi="Arial" w:cs="Arial"/>
                <w:spacing w:val="1"/>
                <w:sz w:val="18"/>
                <w:szCs w:val="18"/>
              </w:rPr>
              <w:t>u</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ec</w:t>
            </w:r>
            <w:r w:rsidRPr="00F91796">
              <w:rPr>
                <w:rFonts w:ascii="Arial" w:eastAsia="Arial" w:hAnsi="Arial" w:cs="Arial"/>
                <w:spacing w:val="-2"/>
                <w:sz w:val="18"/>
                <w:szCs w:val="18"/>
              </w:rPr>
              <w:t>n</w:t>
            </w:r>
            <w:r w:rsidRPr="00F91796">
              <w:rPr>
                <w:rFonts w:ascii="Arial" w:eastAsia="Arial" w:hAnsi="Arial" w:cs="Arial"/>
                <w:spacing w:val="1"/>
                <w:sz w:val="18"/>
                <w:szCs w:val="18"/>
              </w:rPr>
              <w:t>olog</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z w:val="18"/>
                <w:szCs w:val="18"/>
              </w:rPr>
              <w:t>a</w:t>
            </w:r>
            <w:r w:rsidRPr="00F91796">
              <w:rPr>
                <w:rFonts w:ascii="Arial" w:eastAsia="Arial" w:hAnsi="Arial" w:cs="Arial"/>
                <w:spacing w:val="1"/>
                <w:sz w:val="18"/>
                <w:szCs w:val="18"/>
              </w:rPr>
              <w:t xml:space="preserve"> In</w:t>
            </w:r>
            <w:r w:rsidRPr="00F91796">
              <w:rPr>
                <w:rFonts w:ascii="Arial" w:eastAsia="Arial" w:hAnsi="Arial" w:cs="Arial"/>
                <w:spacing w:val="-2"/>
                <w:sz w:val="18"/>
                <w:szCs w:val="18"/>
              </w:rPr>
              <w:t>f</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m</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995380" w:rsidRPr="00F91796" w:rsidTr="000858E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w:t>
            </w:r>
            <w:r w:rsidRPr="00F91796">
              <w:rPr>
                <w:rFonts w:ascii="Arial" w:eastAsia="Arial" w:hAnsi="Arial" w:cs="Arial"/>
                <w:spacing w:val="2"/>
                <w:sz w:val="18"/>
                <w:szCs w:val="18"/>
              </w:rPr>
              <w:t>a</w:t>
            </w:r>
            <w:r w:rsidRPr="00F91796">
              <w:rPr>
                <w:rFonts w:ascii="Arial" w:eastAsia="Arial" w:hAnsi="Arial" w:cs="Arial"/>
                <w:spacing w:val="-2"/>
                <w:sz w:val="18"/>
                <w:szCs w:val="18"/>
              </w:rPr>
              <w:t>r</w:t>
            </w:r>
            <w:r w:rsidRPr="00F91796">
              <w:rPr>
                <w:rFonts w:ascii="Arial" w:eastAsia="Arial" w:hAnsi="Arial" w:cs="Arial"/>
                <w:spacing w:val="1"/>
                <w:sz w:val="18"/>
                <w:szCs w:val="18"/>
              </w:rPr>
              <w:t>io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dm</w:t>
            </w:r>
            <w:r w:rsidRPr="00F91796">
              <w:rPr>
                <w:rFonts w:ascii="Arial" w:eastAsia="Arial" w:hAnsi="Arial" w:cs="Arial"/>
                <w:spacing w:val="-2"/>
                <w:sz w:val="18"/>
                <w:szCs w:val="18"/>
              </w:rPr>
              <w:t>i</w:t>
            </w:r>
            <w:r w:rsidRPr="00F91796">
              <w:rPr>
                <w:rFonts w:ascii="Arial" w:eastAsia="Arial" w:hAnsi="Arial" w:cs="Arial"/>
                <w:spacing w:val="1"/>
                <w:sz w:val="18"/>
                <w:szCs w:val="18"/>
              </w:rPr>
              <w:t>ni</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2</w:t>
            </w:r>
          </w:p>
        </w:tc>
        <w:tc>
          <w:tcPr>
            <w:tcW w:w="7789" w:type="dxa"/>
            <w:gridSpan w:val="8"/>
            <w:tcBorders>
              <w:top w:val="nil"/>
              <w:left w:val="single" w:sz="7" w:space="0" w:color="000000"/>
              <w:bottom w:val="nil"/>
              <w:right w:val="single" w:sz="7" w:space="0" w:color="000000"/>
            </w:tcBorders>
          </w:tcPr>
          <w:p w:rsidR="00995380" w:rsidRPr="00F91796" w:rsidRDefault="00995380" w:rsidP="000858E1">
            <w:pPr>
              <w:spacing w:before="30"/>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d</w:t>
            </w:r>
            <w:r w:rsidRPr="00F91796">
              <w:rPr>
                <w:rFonts w:ascii="Arial" w:eastAsia="Arial" w:hAnsi="Arial" w:cs="Arial"/>
                <w:b/>
                <w:sz w:val="18"/>
                <w:szCs w:val="18"/>
              </w:rPr>
              <w:t>u</w:t>
            </w:r>
            <w:r w:rsidRPr="00F91796">
              <w:rPr>
                <w:rFonts w:ascii="Arial" w:eastAsia="Arial" w:hAnsi="Arial" w:cs="Arial"/>
                <w:b/>
                <w:spacing w:val="1"/>
                <w:sz w:val="18"/>
                <w:szCs w:val="18"/>
              </w:rPr>
              <w:t>c</w:t>
            </w:r>
            <w:r w:rsidRPr="00F91796">
              <w:rPr>
                <w:rFonts w:ascii="Arial" w:eastAsia="Arial" w:hAnsi="Arial" w:cs="Arial"/>
                <w:b/>
                <w:spacing w:val="-2"/>
                <w:sz w:val="18"/>
                <w:szCs w:val="18"/>
              </w:rPr>
              <w:t>a</w:t>
            </w:r>
            <w:r w:rsidRPr="00F91796">
              <w:rPr>
                <w:rFonts w:ascii="Arial" w:eastAsia="Arial" w:hAnsi="Arial" w:cs="Arial"/>
                <w:b/>
                <w:spacing w:val="1"/>
                <w:sz w:val="18"/>
                <w:szCs w:val="18"/>
              </w:rPr>
              <w:t>c</w:t>
            </w:r>
            <w:r w:rsidRPr="00F91796">
              <w:rPr>
                <w:rFonts w:ascii="Arial" w:eastAsia="Arial" w:hAnsi="Arial" w:cs="Arial"/>
                <w:b/>
                <w:spacing w:val="-2"/>
                <w:sz w:val="18"/>
                <w:szCs w:val="18"/>
              </w:rPr>
              <w:t>i</w:t>
            </w:r>
            <w:r w:rsidRPr="00F91796">
              <w:rPr>
                <w:rFonts w:ascii="Arial" w:eastAsia="Arial" w:hAnsi="Arial" w:cs="Arial"/>
                <w:b/>
                <w:sz w:val="18"/>
                <w:szCs w:val="18"/>
              </w:rPr>
              <w:t>o</w:t>
            </w:r>
            <w:r w:rsidRPr="00F91796">
              <w:rPr>
                <w:rFonts w:ascii="Arial" w:eastAsia="Arial" w:hAnsi="Arial" w:cs="Arial"/>
                <w:b/>
                <w:spacing w:val="1"/>
                <w:sz w:val="18"/>
                <w:szCs w:val="18"/>
              </w:rPr>
              <w:t>na</w:t>
            </w:r>
            <w:r w:rsidRPr="00F91796">
              <w:rPr>
                <w:rFonts w:ascii="Arial" w:eastAsia="Arial" w:hAnsi="Arial" w:cs="Arial"/>
                <w:b/>
                <w:sz w:val="18"/>
                <w:szCs w:val="18"/>
              </w:rPr>
              <w:t>l</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R</w:t>
            </w:r>
            <w:r w:rsidRPr="00F91796">
              <w:rPr>
                <w:rFonts w:ascii="Arial" w:eastAsia="Arial" w:hAnsi="Arial" w:cs="Arial"/>
                <w:b/>
                <w:spacing w:val="1"/>
                <w:sz w:val="18"/>
                <w:szCs w:val="18"/>
              </w:rPr>
              <w:t>ec</w:t>
            </w:r>
            <w:r w:rsidRPr="00F91796">
              <w:rPr>
                <w:rFonts w:ascii="Arial" w:eastAsia="Arial" w:hAnsi="Arial" w:cs="Arial"/>
                <w:b/>
                <w:sz w:val="18"/>
                <w:szCs w:val="18"/>
              </w:rPr>
              <w:t>re</w:t>
            </w:r>
            <w:r w:rsidRPr="00F91796">
              <w:rPr>
                <w:rFonts w:ascii="Arial" w:eastAsia="Arial" w:hAnsi="Arial" w:cs="Arial"/>
                <w:b/>
                <w:spacing w:val="1"/>
                <w:sz w:val="18"/>
                <w:szCs w:val="18"/>
              </w:rPr>
              <w:t>a</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pacing w:val="-2"/>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pacing w:val="-2"/>
                <w:sz w:val="18"/>
                <w:szCs w:val="18"/>
              </w:rPr>
              <w:t>d</w:t>
            </w:r>
            <w:r w:rsidRPr="00F91796">
              <w:rPr>
                <w:rFonts w:ascii="Arial" w:eastAsia="Arial" w:hAnsi="Arial" w:cs="Arial"/>
                <w:spacing w:val="1"/>
                <w:sz w:val="18"/>
                <w:szCs w:val="18"/>
              </w:rPr>
              <w:t>io</w:t>
            </w:r>
            <w:r w:rsidRPr="00F91796">
              <w:rPr>
                <w:rFonts w:ascii="Arial" w:eastAsia="Arial" w:hAnsi="Arial" w:cs="Arial"/>
                <w:spacing w:val="-1"/>
                <w:sz w:val="18"/>
                <w:szCs w:val="18"/>
              </w:rPr>
              <w:t>v</w:t>
            </w:r>
            <w:r w:rsidRPr="00F91796">
              <w:rPr>
                <w:rFonts w:ascii="Arial" w:eastAsia="Arial" w:hAnsi="Arial" w:cs="Arial"/>
                <w:spacing w:val="1"/>
                <w:sz w:val="18"/>
                <w:szCs w:val="18"/>
              </w:rPr>
              <w:t>is</w:t>
            </w:r>
            <w:r w:rsidRPr="00F91796">
              <w:rPr>
                <w:rFonts w:ascii="Arial" w:eastAsia="Arial" w:hAnsi="Arial" w:cs="Arial"/>
                <w:spacing w:val="-2"/>
                <w:sz w:val="18"/>
                <w:szCs w:val="18"/>
              </w:rPr>
              <w:t>u</w:t>
            </w:r>
            <w:r w:rsidRPr="00F91796">
              <w:rPr>
                <w:rFonts w:ascii="Arial" w:eastAsia="Arial" w:hAnsi="Arial" w:cs="Arial"/>
                <w:spacing w:val="1"/>
                <w:sz w:val="18"/>
                <w:szCs w:val="18"/>
              </w:rPr>
              <w:t>ale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995380" w:rsidRPr="00F91796" w:rsidTr="000858E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D</w:t>
            </w:r>
            <w:r w:rsidRPr="00F91796">
              <w:rPr>
                <w:rFonts w:ascii="Arial" w:eastAsia="Arial" w:hAnsi="Arial" w:cs="Arial"/>
                <w:spacing w:val="1"/>
                <w:sz w:val="18"/>
                <w:szCs w:val="18"/>
              </w:rPr>
              <w:t>e</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Cá</w:t>
            </w:r>
            <w:r w:rsidRPr="00F91796">
              <w:rPr>
                <w:rFonts w:ascii="Arial" w:eastAsia="Arial" w:hAnsi="Arial" w:cs="Arial"/>
                <w:spacing w:val="1"/>
                <w:sz w:val="18"/>
                <w:szCs w:val="18"/>
              </w:rPr>
              <w:t>ma</w:t>
            </w:r>
            <w:r w:rsidRPr="00F91796">
              <w:rPr>
                <w:rFonts w:ascii="Arial" w:eastAsia="Arial" w:hAnsi="Arial" w:cs="Arial"/>
                <w:sz w:val="18"/>
                <w:szCs w:val="18"/>
              </w:rPr>
              <w:t>r</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F</w:t>
            </w:r>
            <w:r w:rsidRPr="00F91796">
              <w:rPr>
                <w:rFonts w:ascii="Arial" w:eastAsia="Arial" w:hAnsi="Arial" w:cs="Arial"/>
                <w:spacing w:val="-2"/>
                <w:sz w:val="18"/>
                <w:szCs w:val="18"/>
              </w:rPr>
              <w:t>o</w:t>
            </w:r>
            <w:r w:rsidRPr="00F91796">
              <w:rPr>
                <w:rFonts w:ascii="Arial" w:eastAsia="Arial" w:hAnsi="Arial" w:cs="Arial"/>
                <w:sz w:val="18"/>
                <w:szCs w:val="18"/>
              </w:rPr>
              <w:t>t</w:t>
            </w:r>
            <w:r w:rsidRPr="00F91796">
              <w:rPr>
                <w:rFonts w:ascii="Arial" w:eastAsia="Arial" w:hAnsi="Arial" w:cs="Arial"/>
                <w:spacing w:val="1"/>
                <w:sz w:val="18"/>
                <w:szCs w:val="18"/>
              </w:rPr>
              <w:t>og</w:t>
            </w:r>
            <w:r w:rsidRPr="00F91796">
              <w:rPr>
                <w:rFonts w:ascii="Arial" w:eastAsia="Arial" w:hAnsi="Arial" w:cs="Arial"/>
                <w:sz w:val="18"/>
                <w:szCs w:val="18"/>
              </w:rPr>
              <w:t>r</w:t>
            </w:r>
            <w:r w:rsidRPr="00F91796">
              <w:rPr>
                <w:rFonts w:ascii="Arial" w:eastAsia="Arial" w:hAnsi="Arial" w:cs="Arial"/>
                <w:spacing w:val="-2"/>
                <w:sz w:val="18"/>
                <w:szCs w:val="18"/>
              </w:rPr>
              <w:t>á</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de</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r w:rsidRPr="00F91796">
              <w:rPr>
                <w:rFonts w:ascii="Arial" w:eastAsia="Arial" w:hAnsi="Arial" w:cs="Arial"/>
                <w:spacing w:val="3"/>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d</w:t>
            </w:r>
            <w:r w:rsidRPr="00F91796">
              <w:rPr>
                <w:rFonts w:ascii="Arial" w:eastAsia="Arial" w:hAnsi="Arial" w:cs="Arial"/>
                <w:spacing w:val="-2"/>
                <w:sz w:val="18"/>
                <w:szCs w:val="18"/>
              </w:rPr>
              <w:t>u</w:t>
            </w:r>
            <w:r w:rsidRPr="00F91796">
              <w:rPr>
                <w:rFonts w:ascii="Arial" w:eastAsia="Arial" w:hAnsi="Arial" w:cs="Arial"/>
                <w:spacing w:val="-1"/>
                <w:sz w:val="18"/>
                <w:szCs w:val="18"/>
              </w:rPr>
              <w:t>c</w:t>
            </w:r>
            <w:r w:rsidRPr="00F91796">
              <w:rPr>
                <w:rFonts w:ascii="Arial" w:eastAsia="Arial" w:hAnsi="Arial" w:cs="Arial"/>
                <w:spacing w:val="1"/>
                <w:sz w:val="18"/>
                <w:szCs w:val="18"/>
              </w:rPr>
              <w:t>aci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z w:val="18"/>
                <w:szCs w:val="18"/>
              </w:rPr>
              <w:t>r</w:t>
            </w:r>
            <w:r w:rsidRPr="00F91796">
              <w:rPr>
                <w:rFonts w:ascii="Arial" w:eastAsia="Arial" w:hAnsi="Arial" w:cs="Arial"/>
                <w:spacing w:val="1"/>
                <w:sz w:val="18"/>
                <w:szCs w:val="18"/>
              </w:rPr>
              <w:t>ea</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3</w:t>
            </w:r>
          </w:p>
        </w:tc>
        <w:tc>
          <w:tcPr>
            <w:tcW w:w="7789" w:type="dxa"/>
            <w:gridSpan w:val="8"/>
            <w:tcBorders>
              <w:top w:val="single" w:sz="7" w:space="0" w:color="000000"/>
              <w:left w:val="single" w:sz="7" w:space="0" w:color="000000"/>
              <w:bottom w:val="nil"/>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z w:val="18"/>
                <w:szCs w:val="18"/>
              </w:rPr>
              <w:t>I</w:t>
            </w:r>
            <w:r w:rsidRPr="00F91796">
              <w:rPr>
                <w:rFonts w:ascii="Arial" w:eastAsia="Arial" w:hAnsi="Arial" w:cs="Arial"/>
                <w:b/>
                <w:spacing w:val="1"/>
                <w:sz w:val="18"/>
                <w:szCs w:val="18"/>
              </w:rPr>
              <w:t>ns</w:t>
            </w:r>
            <w:r w:rsidRPr="00F91796">
              <w:rPr>
                <w:rFonts w:ascii="Arial" w:eastAsia="Arial" w:hAnsi="Arial" w:cs="Arial"/>
                <w:b/>
                <w:sz w:val="18"/>
                <w:szCs w:val="18"/>
              </w:rPr>
              <w:t>tru</w:t>
            </w:r>
            <w:r w:rsidRPr="00F91796">
              <w:rPr>
                <w:rFonts w:ascii="Arial" w:eastAsia="Arial" w:hAnsi="Arial" w:cs="Arial"/>
                <w:b/>
                <w:spacing w:val="-2"/>
                <w:sz w:val="18"/>
                <w:szCs w:val="18"/>
              </w:rPr>
              <w:t>m</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l</w:t>
            </w:r>
            <w:r w:rsidRPr="00F91796">
              <w:rPr>
                <w:rFonts w:ascii="Arial" w:eastAsia="Arial" w:hAnsi="Arial" w:cs="Arial"/>
                <w:b/>
                <w:spacing w:val="-2"/>
                <w:sz w:val="18"/>
                <w:szCs w:val="18"/>
              </w:rPr>
              <w:t xml:space="preserve"> </w:t>
            </w:r>
            <w:r w:rsidRPr="00F91796">
              <w:rPr>
                <w:rFonts w:ascii="Arial" w:eastAsia="Arial" w:hAnsi="Arial" w:cs="Arial"/>
                <w:b/>
                <w:spacing w:val="1"/>
                <w:sz w:val="18"/>
                <w:szCs w:val="18"/>
              </w:rPr>
              <w:t>M</w:t>
            </w:r>
            <w:r w:rsidRPr="00F91796">
              <w:rPr>
                <w:rFonts w:ascii="Arial" w:eastAsia="Arial" w:hAnsi="Arial" w:cs="Arial"/>
                <w:b/>
                <w:spacing w:val="-2"/>
                <w:sz w:val="18"/>
                <w:szCs w:val="18"/>
              </w:rPr>
              <w:t>é</w:t>
            </w:r>
            <w:r w:rsidRPr="00F91796">
              <w:rPr>
                <w:rFonts w:ascii="Arial" w:eastAsia="Arial" w:hAnsi="Arial" w:cs="Arial"/>
                <w:b/>
                <w:sz w:val="18"/>
                <w:szCs w:val="18"/>
              </w:rPr>
              <w:t>d</w:t>
            </w:r>
            <w:r w:rsidRPr="00F91796">
              <w:rPr>
                <w:rFonts w:ascii="Arial" w:eastAsia="Arial" w:hAnsi="Arial" w:cs="Arial"/>
                <w:b/>
                <w:spacing w:val="1"/>
                <w:sz w:val="18"/>
                <w:szCs w:val="18"/>
              </w:rPr>
              <w:t>i</w:t>
            </w:r>
            <w:r w:rsidRPr="00F91796">
              <w:rPr>
                <w:rFonts w:ascii="Arial" w:eastAsia="Arial" w:hAnsi="Arial" w:cs="Arial"/>
                <w:b/>
                <w:spacing w:val="-2"/>
                <w:sz w:val="18"/>
                <w:szCs w:val="18"/>
              </w:rPr>
              <w:t>c</w:t>
            </w:r>
            <w:r w:rsidRPr="00F91796">
              <w:rPr>
                <w:rFonts w:ascii="Arial" w:eastAsia="Arial" w:hAnsi="Arial" w:cs="Arial"/>
                <w:b/>
                <w:sz w:val="18"/>
                <w:szCs w:val="18"/>
              </w:rPr>
              <w:t>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w:t>
            </w:r>
            <w:r w:rsidRPr="00F91796">
              <w:rPr>
                <w:rFonts w:ascii="Arial" w:eastAsia="Arial" w:hAnsi="Arial" w:cs="Arial"/>
                <w:b/>
                <w:spacing w:val="1"/>
                <w:sz w:val="18"/>
                <w:szCs w:val="18"/>
              </w:rPr>
              <w:t xml:space="preserve"> La</w:t>
            </w:r>
            <w:r w:rsidRPr="00F91796">
              <w:rPr>
                <w:rFonts w:ascii="Arial" w:eastAsia="Arial" w:hAnsi="Arial" w:cs="Arial"/>
                <w:b/>
                <w:sz w:val="18"/>
                <w:szCs w:val="18"/>
              </w:rPr>
              <w:t>b</w:t>
            </w:r>
            <w:r w:rsidRPr="00F91796">
              <w:rPr>
                <w:rFonts w:ascii="Arial" w:eastAsia="Arial" w:hAnsi="Arial" w:cs="Arial"/>
                <w:b/>
                <w:spacing w:val="1"/>
                <w:sz w:val="18"/>
                <w:szCs w:val="18"/>
              </w:rPr>
              <w:t>o</w:t>
            </w:r>
            <w:r w:rsidRPr="00F91796">
              <w:rPr>
                <w:rFonts w:ascii="Arial" w:eastAsia="Arial" w:hAnsi="Arial" w:cs="Arial"/>
                <w:b/>
                <w:sz w:val="18"/>
                <w:szCs w:val="18"/>
              </w:rPr>
              <w:t>rat</w:t>
            </w:r>
            <w:r w:rsidRPr="00F91796">
              <w:rPr>
                <w:rFonts w:ascii="Arial" w:eastAsia="Arial" w:hAnsi="Arial" w:cs="Arial"/>
                <w:b/>
                <w:spacing w:val="1"/>
                <w:sz w:val="18"/>
                <w:szCs w:val="18"/>
              </w:rPr>
              <w:t>o</w:t>
            </w:r>
            <w:r w:rsidRPr="00F91796">
              <w:rPr>
                <w:rFonts w:ascii="Arial" w:eastAsia="Arial" w:hAnsi="Arial" w:cs="Arial"/>
                <w:b/>
                <w:sz w:val="18"/>
                <w:szCs w:val="18"/>
              </w:rPr>
              <w:t>rio</w:t>
            </w:r>
          </w:p>
        </w:tc>
      </w:tr>
      <w:tr w:rsidR="00995380" w:rsidRPr="00F91796" w:rsidTr="000858E1">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2"/>
                <w:sz w:val="18"/>
                <w:szCs w:val="18"/>
              </w:rPr>
              <w:t>ri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m</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w:t>
            </w:r>
            <w:r w:rsidRPr="00F91796">
              <w:rPr>
                <w:rFonts w:ascii="Arial" w:eastAsia="Arial" w:hAnsi="Arial" w:cs="Arial"/>
                <w:spacing w:val="-1"/>
                <w:sz w:val="18"/>
                <w:szCs w:val="18"/>
              </w:rPr>
              <w:t>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pacing w:val="1"/>
                <w:sz w:val="18"/>
                <w:szCs w:val="18"/>
              </w:rPr>
              <w:t>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8771" w:type="dxa"/>
            <w:gridSpan w:val="10"/>
            <w:tcBorders>
              <w:top w:val="single" w:sz="7" w:space="0" w:color="000000"/>
              <w:left w:val="single" w:sz="7" w:space="0" w:color="000000"/>
              <w:bottom w:val="single" w:sz="7" w:space="0" w:color="000000"/>
              <w:right w:val="single" w:sz="7" w:space="0" w:color="000000"/>
            </w:tcBorders>
          </w:tcPr>
          <w:p w:rsidR="00995380" w:rsidRPr="00F91796" w:rsidRDefault="00995380" w:rsidP="000858E1"/>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4</w:t>
            </w:r>
          </w:p>
        </w:tc>
        <w:tc>
          <w:tcPr>
            <w:tcW w:w="7789" w:type="dxa"/>
            <w:gridSpan w:val="8"/>
            <w:tcBorders>
              <w:top w:val="single" w:sz="7" w:space="0" w:color="000000"/>
              <w:left w:val="single" w:sz="7" w:space="0" w:color="000000"/>
              <w:bottom w:val="nil"/>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T</w:t>
            </w:r>
            <w:r w:rsidRPr="00F91796">
              <w:rPr>
                <w:rFonts w:ascii="Arial" w:eastAsia="Arial" w:hAnsi="Arial" w:cs="Arial"/>
                <w:b/>
                <w:sz w:val="18"/>
                <w:szCs w:val="18"/>
              </w:rPr>
              <w:t>ra</w:t>
            </w:r>
            <w:r w:rsidRPr="00F91796">
              <w:rPr>
                <w:rFonts w:ascii="Arial" w:eastAsia="Arial" w:hAnsi="Arial" w:cs="Arial"/>
                <w:b/>
                <w:spacing w:val="1"/>
                <w:sz w:val="18"/>
                <w:szCs w:val="18"/>
              </w:rPr>
              <w:t>n</w:t>
            </w:r>
            <w:r w:rsidRPr="00F91796">
              <w:rPr>
                <w:rFonts w:ascii="Arial" w:eastAsia="Arial" w:hAnsi="Arial" w:cs="Arial"/>
                <w:b/>
                <w:spacing w:val="-2"/>
                <w:sz w:val="18"/>
                <w:szCs w:val="18"/>
              </w:rPr>
              <w:t>s</w:t>
            </w:r>
            <w:r w:rsidRPr="00F91796">
              <w:rPr>
                <w:rFonts w:ascii="Arial" w:eastAsia="Arial" w:hAnsi="Arial" w:cs="Arial"/>
                <w:b/>
                <w:sz w:val="18"/>
                <w:szCs w:val="18"/>
              </w:rPr>
              <w:t>p</w:t>
            </w:r>
            <w:r w:rsidRPr="00F91796">
              <w:rPr>
                <w:rFonts w:ascii="Arial" w:eastAsia="Arial" w:hAnsi="Arial" w:cs="Arial"/>
                <w:b/>
                <w:spacing w:val="1"/>
                <w:sz w:val="18"/>
                <w:szCs w:val="18"/>
              </w:rPr>
              <w:t>o</w:t>
            </w:r>
            <w:r w:rsidRPr="00F91796">
              <w:rPr>
                <w:rFonts w:ascii="Arial" w:eastAsia="Arial" w:hAnsi="Arial" w:cs="Arial"/>
                <w:b/>
                <w:sz w:val="18"/>
                <w:szCs w:val="18"/>
              </w:rPr>
              <w:t>rte</w:t>
            </w:r>
          </w:p>
        </w:tc>
      </w:tr>
      <w:tr w:rsidR="00995380" w:rsidRPr="00F91796" w:rsidTr="000858E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1"/>
                <w:sz w:val="18"/>
                <w:szCs w:val="18"/>
              </w:rPr>
              <w:t>m</w:t>
            </w:r>
            <w:r w:rsidRPr="00F91796">
              <w:rPr>
                <w:rFonts w:ascii="Arial" w:eastAsia="Arial" w:hAnsi="Arial" w:cs="Arial"/>
                <w:spacing w:val="1"/>
                <w:sz w:val="18"/>
                <w:szCs w:val="18"/>
              </w:rPr>
              <w:t>ó</w:t>
            </w:r>
            <w:r w:rsidRPr="00F91796">
              <w:rPr>
                <w:rFonts w:ascii="Arial" w:eastAsia="Arial" w:hAnsi="Arial" w:cs="Arial"/>
                <w:spacing w:val="-1"/>
                <w:sz w:val="18"/>
                <w:szCs w:val="18"/>
              </w:rPr>
              <w:t>v</w:t>
            </w:r>
            <w:r w:rsidRPr="00F91796">
              <w:rPr>
                <w:rFonts w:ascii="Arial" w:eastAsia="Arial" w:hAnsi="Arial" w:cs="Arial"/>
                <w:spacing w:val="1"/>
                <w:sz w:val="18"/>
                <w:szCs w:val="18"/>
              </w:rPr>
              <w:t>ile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3"/>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rr</w:t>
            </w:r>
            <w:r w:rsidRPr="00F91796">
              <w:rPr>
                <w:rFonts w:ascii="Arial" w:eastAsia="Arial" w:hAnsi="Arial" w:cs="Arial"/>
                <w:spacing w:val="1"/>
                <w:sz w:val="18"/>
                <w:szCs w:val="18"/>
              </w:rPr>
              <w:t>es</w:t>
            </w:r>
            <w:r w:rsidRPr="00F91796">
              <w:rPr>
                <w:rFonts w:ascii="Arial" w:eastAsia="Arial" w:hAnsi="Arial" w:cs="Arial"/>
                <w:sz w:val="18"/>
                <w:szCs w:val="18"/>
              </w:rPr>
              <w:t>t</w:t>
            </w:r>
            <w:r w:rsidRPr="00F91796">
              <w:rPr>
                <w:rFonts w:ascii="Arial" w:eastAsia="Arial" w:hAnsi="Arial" w:cs="Arial"/>
                <w:spacing w:val="-2"/>
                <w:sz w:val="18"/>
                <w:szCs w:val="18"/>
              </w:rPr>
              <w:t>r</w:t>
            </w:r>
            <w:r w:rsidRPr="00F91796">
              <w:rPr>
                <w:rFonts w:ascii="Arial" w:eastAsia="Arial" w:hAnsi="Arial" w:cs="Arial"/>
                <w:sz w:val="18"/>
                <w:szCs w:val="18"/>
              </w:rPr>
              <w:t>e</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pacing w:val="1"/>
                <w:sz w:val="18"/>
                <w:szCs w:val="18"/>
              </w:rPr>
              <w:lastRenderedPageBreak/>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Carr</w:t>
            </w:r>
            <w:r w:rsidRPr="00F91796">
              <w:rPr>
                <w:rFonts w:ascii="Arial" w:eastAsia="Arial" w:hAnsi="Arial" w:cs="Arial"/>
                <w:spacing w:val="1"/>
                <w:sz w:val="18"/>
                <w:szCs w:val="18"/>
              </w:rPr>
              <w:t>oce</w:t>
            </w:r>
            <w:r w:rsidRPr="00F91796">
              <w:rPr>
                <w:rFonts w:ascii="Arial" w:eastAsia="Arial" w:hAnsi="Arial" w:cs="Arial"/>
                <w:sz w:val="18"/>
                <w:szCs w:val="18"/>
              </w:rPr>
              <w:t>r</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mo</w:t>
            </w:r>
            <w:r w:rsidRPr="00F91796">
              <w:rPr>
                <w:rFonts w:ascii="Arial" w:eastAsia="Arial" w:hAnsi="Arial" w:cs="Arial"/>
                <w:spacing w:val="-2"/>
                <w:sz w:val="18"/>
                <w:szCs w:val="18"/>
              </w:rPr>
              <w:t>l</w:t>
            </w:r>
            <w:r w:rsidRPr="00F91796">
              <w:rPr>
                <w:rFonts w:ascii="Arial" w:eastAsia="Arial" w:hAnsi="Arial" w:cs="Arial"/>
                <w:spacing w:val="1"/>
                <w:sz w:val="18"/>
                <w:szCs w:val="18"/>
              </w:rPr>
              <w:t>qu</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1.2.4.4.3</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Equipo Aeroespacial</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1.2.4.4.4</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Equipo Ferroviario</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1.2.4.4.5</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Embarcaciones</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1.2.4.4.9</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sz w:val="18"/>
                <w:szCs w:val="18"/>
              </w:rPr>
            </w:pPr>
            <w:r w:rsidRPr="00F91796">
              <w:rPr>
                <w:rFonts w:ascii="Arial" w:eastAsia="Arial" w:hAnsi="Arial" w:cs="Arial"/>
                <w:sz w:val="18"/>
                <w:szCs w:val="18"/>
              </w:rPr>
              <w:t>Otros Equipos de Transporte</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995380" w:rsidRPr="00F91796" w:rsidTr="000858E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b/>
                <w:spacing w:val="1"/>
                <w:sz w:val="18"/>
                <w:szCs w:val="18"/>
              </w:rPr>
            </w:pPr>
            <w:r w:rsidRPr="00F91796">
              <w:rPr>
                <w:rFonts w:ascii="Arial" w:eastAsia="Arial" w:hAnsi="Arial" w:cs="Arial"/>
                <w:b/>
                <w:spacing w:val="1"/>
                <w:sz w:val="18"/>
                <w:szCs w:val="18"/>
              </w:rPr>
              <w:t>1.2.4.5</w:t>
            </w:r>
          </w:p>
        </w:tc>
        <w:tc>
          <w:tcPr>
            <w:tcW w:w="5614" w:type="dxa"/>
            <w:gridSpan w:val="4"/>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64"/>
              <w:rPr>
                <w:rFonts w:ascii="Arial" w:eastAsia="Arial" w:hAnsi="Arial" w:cs="Arial"/>
                <w:b/>
                <w:sz w:val="18"/>
                <w:szCs w:val="18"/>
              </w:rPr>
            </w:pPr>
            <w:r w:rsidRPr="00F91796">
              <w:rPr>
                <w:rFonts w:ascii="Arial" w:eastAsia="Arial" w:hAnsi="Arial" w:cs="Arial"/>
                <w:b/>
                <w:sz w:val="18"/>
                <w:szCs w:val="18"/>
              </w:rPr>
              <w:t>Equipo de Defensa y Seguridad1</w:t>
            </w:r>
          </w:p>
        </w:tc>
        <w:tc>
          <w:tcPr>
            <w:tcW w:w="868"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318" w:right="351"/>
              <w:jc w:val="center"/>
              <w:rPr>
                <w:rFonts w:ascii="Arial" w:eastAsia="Arial" w:hAnsi="Arial" w:cs="Arial"/>
                <w:b/>
                <w:sz w:val="18"/>
                <w:szCs w:val="18"/>
              </w:rPr>
            </w:pPr>
            <w:r w:rsidRPr="00F91796">
              <w:rPr>
                <w:rFonts w:ascii="Arial" w:eastAsia="Arial" w:hAnsi="Arial" w:cs="Arial"/>
                <w:b/>
                <w:sz w:val="18"/>
                <w:szCs w:val="18"/>
              </w:rPr>
              <w:t>*</w:t>
            </w:r>
          </w:p>
        </w:tc>
        <w:tc>
          <w:tcPr>
            <w:tcW w:w="1307" w:type="dxa"/>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22"/>
              <w:ind w:left="530" w:right="530"/>
              <w:jc w:val="center"/>
              <w:rPr>
                <w:rFonts w:ascii="Arial" w:eastAsia="Arial" w:hAnsi="Arial" w:cs="Arial"/>
                <w:b/>
                <w:spacing w:val="1"/>
                <w:sz w:val="18"/>
                <w:szCs w:val="18"/>
              </w:rPr>
            </w:pPr>
            <w:r w:rsidRPr="00F91796">
              <w:rPr>
                <w:rFonts w:ascii="Arial" w:eastAsia="Arial" w:hAnsi="Arial" w:cs="Arial"/>
                <w:b/>
                <w:spacing w:val="1"/>
                <w:sz w:val="18"/>
                <w:szCs w:val="18"/>
              </w:rPr>
              <w:t>*</w:t>
            </w:r>
          </w:p>
        </w:tc>
      </w:tr>
      <w:tr w:rsidR="00995380" w:rsidRPr="00F91796" w:rsidTr="000858E1">
        <w:trPr>
          <w:trHeight w:hRule="exact" w:val="341"/>
        </w:trPr>
        <w:tc>
          <w:tcPr>
            <w:tcW w:w="8771" w:type="dxa"/>
            <w:gridSpan w:val="10"/>
            <w:tcBorders>
              <w:top w:val="single" w:sz="7" w:space="0" w:color="000000"/>
              <w:left w:val="single" w:sz="7" w:space="0" w:color="000000"/>
              <w:bottom w:val="single" w:sz="7" w:space="0" w:color="000000"/>
              <w:right w:val="single" w:sz="7" w:space="0" w:color="000000"/>
            </w:tcBorders>
          </w:tcPr>
          <w:p w:rsidR="00995380" w:rsidRPr="00F91796" w:rsidRDefault="00995380" w:rsidP="000858E1"/>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2.4</w:t>
            </w:r>
            <w:r w:rsidRPr="00F91796">
              <w:rPr>
                <w:rFonts w:ascii="Arial" w:eastAsia="Arial" w:hAnsi="Arial" w:cs="Arial"/>
                <w:b/>
                <w:spacing w:val="-2"/>
                <w:sz w:val="18"/>
                <w:szCs w:val="18"/>
              </w:rPr>
              <w:t>.</w:t>
            </w:r>
            <w:r w:rsidRPr="00F91796">
              <w:rPr>
                <w:rFonts w:ascii="Arial" w:eastAsia="Arial" w:hAnsi="Arial" w:cs="Arial"/>
                <w:b/>
                <w:sz w:val="18"/>
                <w:szCs w:val="18"/>
              </w:rPr>
              <w:t>6</w:t>
            </w:r>
          </w:p>
        </w:tc>
        <w:tc>
          <w:tcPr>
            <w:tcW w:w="7789" w:type="dxa"/>
            <w:gridSpan w:val="8"/>
            <w:tcBorders>
              <w:top w:val="single" w:sz="7" w:space="0" w:color="000000"/>
              <w:left w:val="single" w:sz="7" w:space="0" w:color="000000"/>
              <w:bottom w:val="nil"/>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b/>
                <w:spacing w:val="1"/>
                <w:sz w:val="18"/>
                <w:szCs w:val="18"/>
              </w:rPr>
              <w:t>Ma</w:t>
            </w:r>
            <w:r w:rsidRPr="00F91796">
              <w:rPr>
                <w:rFonts w:ascii="Arial" w:eastAsia="Arial" w:hAnsi="Arial" w:cs="Arial"/>
                <w:b/>
                <w:sz w:val="18"/>
                <w:szCs w:val="18"/>
              </w:rPr>
              <w:t>q</w:t>
            </w:r>
            <w:r w:rsidRPr="00F91796">
              <w:rPr>
                <w:rFonts w:ascii="Arial" w:eastAsia="Arial" w:hAnsi="Arial" w:cs="Arial"/>
                <w:b/>
                <w:spacing w:val="1"/>
                <w:sz w:val="18"/>
                <w:szCs w:val="18"/>
              </w:rPr>
              <w:t>u</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a</w:t>
            </w:r>
            <w:r w:rsidRPr="00F91796">
              <w:rPr>
                <w:rFonts w:ascii="Arial" w:eastAsia="Arial" w:hAnsi="Arial" w:cs="Arial"/>
                <w:b/>
                <w:sz w:val="18"/>
                <w:szCs w:val="18"/>
              </w:rPr>
              <w:t>ri</w:t>
            </w:r>
            <w:r w:rsidRPr="00F91796">
              <w:rPr>
                <w:rFonts w:ascii="Arial" w:eastAsia="Arial" w:hAnsi="Arial" w:cs="Arial"/>
                <w:b/>
                <w:spacing w:val="1"/>
                <w:sz w:val="18"/>
                <w:szCs w:val="18"/>
              </w:rPr>
              <w:t>a</w:t>
            </w:r>
            <w:r w:rsidRPr="00F91796">
              <w:rPr>
                <w:rFonts w:ascii="Arial" w:eastAsia="Arial" w:hAnsi="Arial" w:cs="Arial"/>
                <w:b/>
                <w:sz w:val="18"/>
                <w:szCs w:val="18"/>
              </w:rPr>
              <w:t>,</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O</w:t>
            </w:r>
            <w:r w:rsidRPr="00F91796">
              <w:rPr>
                <w:rFonts w:ascii="Arial" w:eastAsia="Arial" w:hAnsi="Arial" w:cs="Arial"/>
                <w:b/>
                <w:sz w:val="18"/>
                <w:szCs w:val="18"/>
              </w:rPr>
              <w:t>tros</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w:t>
            </w:r>
            <w:r w:rsidRPr="00F91796">
              <w:rPr>
                <w:rFonts w:ascii="Arial" w:eastAsia="Arial" w:hAnsi="Arial" w:cs="Arial"/>
                <w:b/>
                <w:spacing w:val="-2"/>
                <w:sz w:val="18"/>
                <w:szCs w:val="18"/>
              </w:rPr>
              <w:t>o</w:t>
            </w:r>
            <w:r w:rsidRPr="00F91796">
              <w:rPr>
                <w:rFonts w:ascii="Arial" w:eastAsia="Arial" w:hAnsi="Arial" w:cs="Arial"/>
                <w:b/>
                <w:sz w:val="18"/>
                <w:szCs w:val="18"/>
              </w:rPr>
              <w:t>s</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4"/>
                <w:sz w:val="18"/>
                <w:szCs w:val="18"/>
              </w:rPr>
              <w:t xml:space="preserve"> </w:t>
            </w:r>
            <w:r w:rsidRPr="00F91796">
              <w:rPr>
                <w:rFonts w:ascii="Arial" w:eastAsia="Arial" w:hAnsi="Arial" w:cs="Arial"/>
                <w:b/>
                <w:sz w:val="18"/>
                <w:szCs w:val="18"/>
              </w:rPr>
              <w:t>H</w:t>
            </w:r>
            <w:r w:rsidRPr="00F91796">
              <w:rPr>
                <w:rFonts w:ascii="Arial" w:eastAsia="Arial" w:hAnsi="Arial" w:cs="Arial"/>
                <w:b/>
                <w:spacing w:val="1"/>
                <w:sz w:val="18"/>
                <w:szCs w:val="18"/>
              </w:rPr>
              <w:t>e</w:t>
            </w:r>
            <w:r w:rsidRPr="00F91796">
              <w:rPr>
                <w:rFonts w:ascii="Arial" w:eastAsia="Arial" w:hAnsi="Arial" w:cs="Arial"/>
                <w:b/>
                <w:sz w:val="18"/>
                <w:szCs w:val="18"/>
              </w:rPr>
              <w:t>r</w:t>
            </w:r>
            <w:r w:rsidRPr="00F91796">
              <w:rPr>
                <w:rFonts w:ascii="Arial" w:eastAsia="Arial" w:hAnsi="Arial" w:cs="Arial"/>
                <w:b/>
                <w:spacing w:val="-1"/>
                <w:sz w:val="18"/>
                <w:szCs w:val="18"/>
              </w:rPr>
              <w:t>r</w:t>
            </w:r>
            <w:r w:rsidRPr="00F91796">
              <w:rPr>
                <w:rFonts w:ascii="Arial" w:eastAsia="Arial" w:hAnsi="Arial" w:cs="Arial"/>
                <w:b/>
                <w:spacing w:val="1"/>
                <w:sz w:val="18"/>
                <w:szCs w:val="18"/>
              </w:rPr>
              <w:t>am</w:t>
            </w:r>
            <w:r w:rsidRPr="00F91796">
              <w:rPr>
                <w:rFonts w:ascii="Arial" w:eastAsia="Arial" w:hAnsi="Arial" w:cs="Arial"/>
                <w:b/>
                <w:sz w:val="18"/>
                <w:szCs w:val="18"/>
              </w:rPr>
              <w:t>i</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s</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A</w:t>
            </w:r>
            <w:r w:rsidRPr="00F91796">
              <w:rPr>
                <w:rFonts w:ascii="Arial" w:eastAsia="Arial" w:hAnsi="Arial" w:cs="Arial"/>
                <w:spacing w:val="1"/>
                <w:sz w:val="18"/>
                <w:szCs w:val="18"/>
              </w:rPr>
              <w:t>g</w:t>
            </w:r>
            <w:r w:rsidRPr="00F91796">
              <w:rPr>
                <w:rFonts w:ascii="Arial" w:eastAsia="Arial" w:hAnsi="Arial" w:cs="Arial"/>
                <w:sz w:val="18"/>
                <w:szCs w:val="18"/>
              </w:rPr>
              <w:t>r</w:t>
            </w:r>
            <w:r w:rsidRPr="00F91796">
              <w:rPr>
                <w:rFonts w:ascii="Arial" w:eastAsia="Arial" w:hAnsi="Arial" w:cs="Arial"/>
                <w:spacing w:val="1"/>
                <w:sz w:val="18"/>
                <w:szCs w:val="18"/>
              </w:rPr>
              <w:t>op</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pacing w:val="1"/>
                <w:sz w:val="18"/>
                <w:szCs w:val="18"/>
              </w:rPr>
              <w:t>ua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w:t>
            </w:r>
            <w:r w:rsidRPr="00F91796">
              <w:rPr>
                <w:rFonts w:ascii="Arial" w:eastAsia="Arial" w:hAnsi="Arial" w:cs="Arial"/>
                <w:spacing w:val="-2"/>
                <w:sz w:val="18"/>
                <w:szCs w:val="18"/>
              </w:rPr>
              <w:t>n</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z w:val="18"/>
                <w:szCs w:val="18"/>
              </w:rPr>
              <w:t>r</w:t>
            </w:r>
            <w:r w:rsidRPr="00F91796">
              <w:rPr>
                <w:rFonts w:ascii="Arial" w:eastAsia="Arial" w:hAnsi="Arial" w:cs="Arial"/>
                <w:spacing w:val="1"/>
                <w:sz w:val="18"/>
                <w:szCs w:val="18"/>
              </w:rPr>
              <w:t>uc</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569"/>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6" w:line="120" w:lineRule="exact"/>
              <w:rPr>
                <w:sz w:val="12"/>
                <w:szCs w:val="12"/>
              </w:rPr>
            </w:pPr>
          </w:p>
          <w:p w:rsidR="00995380" w:rsidRPr="00F91796" w:rsidRDefault="00995380" w:rsidP="000858E1">
            <w:pPr>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3"/>
              <w:ind w:left="64"/>
              <w:rPr>
                <w:rFonts w:ascii="Arial" w:eastAsia="Arial" w:hAnsi="Arial" w:cs="Arial"/>
                <w:sz w:val="18"/>
                <w:szCs w:val="18"/>
              </w:rPr>
            </w:pPr>
            <w:r w:rsidRPr="00F91796">
              <w:rPr>
                <w:rFonts w:ascii="Arial" w:eastAsia="Arial" w:hAnsi="Arial" w:cs="Arial"/>
                <w:sz w:val="18"/>
                <w:szCs w:val="18"/>
              </w:rPr>
              <w:t>S</w:t>
            </w:r>
            <w:r w:rsidRPr="00F91796">
              <w:rPr>
                <w:rFonts w:ascii="Arial" w:eastAsia="Arial" w:hAnsi="Arial" w:cs="Arial"/>
                <w:spacing w:val="1"/>
                <w:sz w:val="18"/>
                <w:szCs w:val="18"/>
              </w:rPr>
              <w:t>is</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1"/>
                <w:sz w:val="18"/>
                <w:szCs w:val="18"/>
              </w:rPr>
              <w:t>m</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40"/>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i</w:t>
            </w:r>
            <w:r w:rsidRPr="00F91796">
              <w:rPr>
                <w:rFonts w:ascii="Arial" w:eastAsia="Arial" w:hAnsi="Arial" w:cs="Arial"/>
                <w:sz w:val="18"/>
                <w:szCs w:val="18"/>
              </w:rPr>
              <w:t>re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nd</w:t>
            </w:r>
            <w:r w:rsidRPr="00F91796">
              <w:rPr>
                <w:rFonts w:ascii="Arial" w:eastAsia="Arial" w:hAnsi="Arial" w:cs="Arial"/>
                <w:spacing w:val="-2"/>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on</w:t>
            </w:r>
            <w:r w:rsidRPr="00F91796">
              <w:rPr>
                <w:rFonts w:ascii="Arial" w:eastAsia="Arial" w:hAnsi="Arial" w:cs="Arial"/>
                <w:spacing w:val="1"/>
                <w:sz w:val="18"/>
                <w:szCs w:val="18"/>
              </w:rPr>
              <w:t>ado</w:t>
            </w:r>
            <w:r w:rsidRPr="00F91796">
              <w:rPr>
                <w:rFonts w:ascii="Arial" w:eastAsia="Arial" w:hAnsi="Arial" w:cs="Arial"/>
                <w:sz w:val="18"/>
                <w:szCs w:val="18"/>
              </w:rPr>
              <w:t>,</w:t>
            </w:r>
            <w:r w:rsidRPr="00F91796">
              <w:rPr>
                <w:rFonts w:ascii="Arial" w:eastAsia="Arial" w:hAnsi="Arial" w:cs="Arial"/>
                <w:spacing w:val="39"/>
                <w:sz w:val="18"/>
                <w:szCs w:val="18"/>
              </w:rPr>
              <w:t xml:space="preserve"> </w:t>
            </w:r>
            <w:r w:rsidRPr="00F91796">
              <w:rPr>
                <w:rFonts w:ascii="Arial" w:eastAsia="Arial" w:hAnsi="Arial" w:cs="Arial"/>
                <w:sz w:val="18"/>
                <w:szCs w:val="18"/>
              </w:rPr>
              <w:t>Ca</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f</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r w:rsidRPr="00F91796">
              <w:rPr>
                <w:rFonts w:ascii="Arial" w:eastAsia="Arial" w:hAnsi="Arial" w:cs="Arial"/>
                <w:spacing w:val="39"/>
                <w:sz w:val="18"/>
                <w:szCs w:val="18"/>
              </w:rPr>
              <w:t xml:space="preserve"> </w:t>
            </w:r>
            <w:r w:rsidRPr="00F91796">
              <w:rPr>
                <w:rFonts w:ascii="Arial" w:eastAsia="Arial" w:hAnsi="Arial" w:cs="Arial"/>
                <w:sz w:val="18"/>
                <w:szCs w:val="18"/>
              </w:rPr>
              <w:t>y</w:t>
            </w:r>
            <w:r w:rsidRPr="00F91796">
              <w:rPr>
                <w:rFonts w:ascii="Arial" w:eastAsia="Arial" w:hAnsi="Arial" w:cs="Arial"/>
                <w:spacing w:val="38"/>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46"/>
                <w:sz w:val="18"/>
                <w:szCs w:val="18"/>
              </w:rPr>
              <w:t xml:space="preserve"> </w:t>
            </w:r>
            <w:r w:rsidRPr="00F91796">
              <w:rPr>
                <w:rFonts w:ascii="Arial" w:eastAsia="Arial" w:hAnsi="Arial" w:cs="Arial"/>
                <w:sz w:val="18"/>
                <w:szCs w:val="18"/>
              </w:rPr>
              <w:t>Re</w:t>
            </w:r>
            <w:r w:rsidRPr="00F91796">
              <w:rPr>
                <w:rFonts w:ascii="Arial" w:eastAsia="Arial" w:hAnsi="Arial" w:cs="Arial"/>
                <w:spacing w:val="1"/>
                <w:sz w:val="18"/>
                <w:szCs w:val="18"/>
              </w:rPr>
              <w:t>f</w:t>
            </w:r>
            <w:r w:rsidRPr="00F91796">
              <w:rPr>
                <w:rFonts w:ascii="Arial" w:eastAsia="Arial" w:hAnsi="Arial" w:cs="Arial"/>
                <w:sz w:val="18"/>
                <w:szCs w:val="18"/>
              </w:rPr>
              <w:t>r</w:t>
            </w:r>
            <w:r w:rsidRPr="00F91796">
              <w:rPr>
                <w:rFonts w:ascii="Arial" w:eastAsia="Arial" w:hAnsi="Arial" w:cs="Arial"/>
                <w:spacing w:val="1"/>
                <w:sz w:val="18"/>
                <w:szCs w:val="18"/>
              </w:rPr>
              <w:t>ige</w:t>
            </w:r>
            <w:r w:rsidRPr="00F91796">
              <w:rPr>
                <w:rFonts w:ascii="Arial" w:eastAsia="Arial" w:hAnsi="Arial" w:cs="Arial"/>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p w:rsidR="00995380" w:rsidRPr="00F91796" w:rsidRDefault="00995380" w:rsidP="000858E1">
            <w:pPr>
              <w:spacing w:before="21"/>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2"/>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ome</w:t>
            </w:r>
            <w:r w:rsidRPr="00F91796">
              <w:rPr>
                <w:rFonts w:ascii="Arial" w:eastAsia="Arial" w:hAnsi="Arial" w:cs="Arial"/>
                <w:spacing w:val="-2"/>
                <w:sz w:val="18"/>
                <w:szCs w:val="18"/>
              </w:rPr>
              <w:t>r</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6" w:line="120" w:lineRule="exact"/>
              <w:rPr>
                <w:sz w:val="12"/>
                <w:szCs w:val="12"/>
              </w:rPr>
            </w:pPr>
          </w:p>
          <w:p w:rsidR="00995380" w:rsidRPr="00F91796" w:rsidRDefault="00995380" w:rsidP="000858E1">
            <w:pPr>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6" w:line="120" w:lineRule="exact"/>
              <w:rPr>
                <w:sz w:val="12"/>
                <w:szCs w:val="12"/>
              </w:rPr>
            </w:pPr>
          </w:p>
          <w:p w:rsidR="00995380" w:rsidRPr="00F91796" w:rsidRDefault="00995380" w:rsidP="000858E1">
            <w:pPr>
              <w:ind w:left="521" w:right="521"/>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m</w:t>
            </w:r>
            <w:r w:rsidRPr="00F91796">
              <w:rPr>
                <w:rFonts w:ascii="Arial" w:eastAsia="Arial" w:hAnsi="Arial" w:cs="Arial"/>
                <w:spacing w:val="-2"/>
                <w:sz w:val="18"/>
                <w:szCs w:val="18"/>
              </w:rPr>
              <w:t>u</w:t>
            </w:r>
            <w:r w:rsidRPr="00F91796">
              <w:rPr>
                <w:rFonts w:ascii="Arial" w:eastAsia="Arial" w:hAnsi="Arial" w:cs="Arial"/>
                <w:spacing w:val="1"/>
                <w:sz w:val="18"/>
                <w:szCs w:val="18"/>
              </w:rPr>
              <w:t>ni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l</w:t>
            </w:r>
            <w:r w:rsidRPr="00F91796">
              <w:rPr>
                <w:rFonts w:ascii="Arial" w:eastAsia="Arial" w:hAnsi="Arial" w:cs="Arial"/>
                <w:spacing w:val="1"/>
                <w:sz w:val="18"/>
                <w:szCs w:val="18"/>
              </w:rPr>
              <w:t>ec</w:t>
            </w:r>
            <w:r w:rsidRPr="00F91796">
              <w:rPr>
                <w:rFonts w:ascii="Arial" w:eastAsia="Arial" w:hAnsi="Arial" w:cs="Arial"/>
                <w:spacing w:val="-2"/>
                <w:sz w:val="18"/>
                <w:szCs w:val="18"/>
              </w:rPr>
              <w:t>o</w:t>
            </w:r>
            <w:r w:rsidRPr="00F91796">
              <w:rPr>
                <w:rFonts w:ascii="Arial" w:eastAsia="Arial" w:hAnsi="Arial" w:cs="Arial"/>
                <w:spacing w:val="1"/>
                <w:sz w:val="18"/>
                <w:szCs w:val="18"/>
              </w:rPr>
              <w:t>mun</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Ge</w:t>
            </w:r>
            <w:r w:rsidRPr="00F91796">
              <w:rPr>
                <w:rFonts w:ascii="Arial" w:eastAsia="Arial" w:hAnsi="Arial" w:cs="Arial"/>
                <w:spacing w:val="1"/>
                <w:sz w:val="18"/>
                <w:szCs w:val="18"/>
              </w:rPr>
              <w:t>ne</w:t>
            </w:r>
            <w:r w:rsidRPr="00F91796">
              <w:rPr>
                <w:rFonts w:ascii="Arial" w:eastAsia="Arial" w:hAnsi="Arial" w:cs="Arial"/>
                <w:spacing w:val="-2"/>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E</w:t>
            </w:r>
            <w:r w:rsidRPr="00F91796">
              <w:rPr>
                <w:rFonts w:ascii="Arial" w:eastAsia="Arial" w:hAnsi="Arial" w:cs="Arial"/>
                <w:spacing w:val="1"/>
                <w:sz w:val="18"/>
                <w:szCs w:val="18"/>
              </w:rPr>
              <w:t>léc</w:t>
            </w:r>
            <w:r w:rsidRPr="00F91796">
              <w:rPr>
                <w:rFonts w:ascii="Arial" w:eastAsia="Arial" w:hAnsi="Arial" w:cs="Arial"/>
                <w:sz w:val="18"/>
                <w:szCs w:val="18"/>
              </w:rPr>
              <w:t>t</w:t>
            </w:r>
            <w:r w:rsidRPr="00F91796">
              <w:rPr>
                <w:rFonts w:ascii="Arial" w:eastAsia="Arial" w:hAnsi="Arial" w:cs="Arial"/>
                <w:spacing w:val="-2"/>
                <w:sz w:val="18"/>
                <w:szCs w:val="18"/>
              </w:rPr>
              <w:t>ri</w:t>
            </w:r>
            <w:r w:rsidRPr="00F91796">
              <w:rPr>
                <w:rFonts w:ascii="Arial" w:eastAsia="Arial" w:hAnsi="Arial" w:cs="Arial"/>
                <w:spacing w:val="1"/>
                <w:sz w:val="18"/>
                <w:szCs w:val="18"/>
              </w:rPr>
              <w:t>ca</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2"/>
                <w:sz w:val="18"/>
                <w:szCs w:val="18"/>
              </w:rPr>
              <w:t>p</w:t>
            </w:r>
            <w:r w:rsidRPr="00F91796">
              <w:rPr>
                <w:rFonts w:ascii="Arial" w:eastAsia="Arial" w:hAnsi="Arial" w:cs="Arial"/>
                <w:spacing w:val="1"/>
                <w:sz w:val="18"/>
                <w:szCs w:val="18"/>
              </w:rPr>
              <w:t>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ce</w:t>
            </w:r>
            <w:r w:rsidRPr="00F91796">
              <w:rPr>
                <w:rFonts w:ascii="Arial" w:eastAsia="Arial" w:hAnsi="Arial" w:cs="Arial"/>
                <w:spacing w:val="-1"/>
                <w:sz w:val="18"/>
                <w:szCs w:val="18"/>
              </w:rPr>
              <w:t>s</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l</w:t>
            </w:r>
            <w:r w:rsidRPr="00F91796">
              <w:rPr>
                <w:rFonts w:ascii="Arial" w:eastAsia="Arial" w:hAnsi="Arial" w:cs="Arial"/>
                <w:spacing w:val="-2"/>
                <w:sz w:val="18"/>
                <w:szCs w:val="18"/>
              </w:rPr>
              <w:t>é</w:t>
            </w:r>
            <w:r w:rsidRPr="00F91796">
              <w:rPr>
                <w:rFonts w:ascii="Arial" w:eastAsia="Arial" w:hAnsi="Arial" w:cs="Arial"/>
                <w:spacing w:val="1"/>
                <w:sz w:val="18"/>
                <w:szCs w:val="18"/>
              </w:rPr>
              <w:t>c</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z w:val="18"/>
                <w:szCs w:val="18"/>
              </w:rPr>
              <w:t>Herr</w:t>
            </w:r>
            <w:r w:rsidRPr="00F91796">
              <w:rPr>
                <w:rFonts w:ascii="Arial" w:eastAsia="Arial" w:hAnsi="Arial" w:cs="Arial"/>
                <w:spacing w:val="1"/>
                <w:sz w:val="18"/>
                <w:szCs w:val="18"/>
              </w:rPr>
              <w:t>am</w:t>
            </w:r>
            <w:r w:rsidRPr="00F91796">
              <w:rPr>
                <w:rFonts w:ascii="Arial" w:eastAsia="Arial" w:hAnsi="Arial" w:cs="Arial"/>
                <w:spacing w:val="-2"/>
                <w:sz w:val="18"/>
                <w:szCs w:val="18"/>
              </w:rPr>
              <w:t>i</w:t>
            </w:r>
            <w:r w:rsidRPr="00F91796">
              <w:rPr>
                <w:rFonts w:ascii="Arial" w:eastAsia="Arial" w:hAnsi="Arial" w:cs="Arial"/>
                <w:spacing w:val="1"/>
                <w:sz w:val="18"/>
                <w:szCs w:val="18"/>
              </w:rPr>
              <w:t>en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áquina</w:t>
            </w:r>
            <w:r w:rsidRPr="00F91796">
              <w:rPr>
                <w:rFonts w:ascii="Arial" w:eastAsia="Arial" w:hAnsi="Arial" w:cs="Arial"/>
                <w:spacing w:val="4"/>
                <w:sz w:val="18"/>
                <w:szCs w:val="18"/>
              </w:rPr>
              <w:t>s</w:t>
            </w:r>
            <w:r w:rsidRPr="00F91796">
              <w:rPr>
                <w:rFonts w:ascii="Arial" w:eastAsia="Arial" w:hAnsi="Arial" w:cs="Arial"/>
                <w:sz w:val="18"/>
                <w:szCs w:val="18"/>
              </w:rPr>
              <w:t>-</w:t>
            </w:r>
            <w:r w:rsidRPr="00F91796">
              <w:rPr>
                <w:rFonts w:ascii="Arial" w:eastAsia="Arial" w:hAnsi="Arial" w:cs="Arial"/>
                <w:spacing w:val="-3"/>
                <w:sz w:val="18"/>
                <w:szCs w:val="18"/>
              </w:rPr>
              <w:t>H</w:t>
            </w:r>
            <w:r w:rsidRPr="00F91796">
              <w:rPr>
                <w:rFonts w:ascii="Arial" w:eastAsia="Arial" w:hAnsi="Arial" w:cs="Arial"/>
                <w:spacing w:val="1"/>
                <w:sz w:val="18"/>
                <w:szCs w:val="18"/>
              </w:rPr>
              <w:t>e</w:t>
            </w:r>
            <w:r w:rsidRPr="00F91796">
              <w:rPr>
                <w:rFonts w:ascii="Arial" w:eastAsia="Arial" w:hAnsi="Arial" w:cs="Arial"/>
                <w:spacing w:val="-2"/>
                <w:sz w:val="18"/>
                <w:szCs w:val="18"/>
              </w:rPr>
              <w:t>r</w:t>
            </w:r>
            <w:r w:rsidRPr="00F91796">
              <w:rPr>
                <w:rFonts w:ascii="Arial" w:eastAsia="Arial" w:hAnsi="Arial" w:cs="Arial"/>
                <w:sz w:val="18"/>
                <w:szCs w:val="18"/>
              </w:rPr>
              <w:t>r</w:t>
            </w:r>
            <w:r w:rsidRPr="00F91796">
              <w:rPr>
                <w:rFonts w:ascii="Arial" w:eastAsia="Arial" w:hAnsi="Arial" w:cs="Arial"/>
                <w:spacing w:val="1"/>
                <w:sz w:val="18"/>
                <w:szCs w:val="18"/>
              </w:rPr>
              <w:t>ami</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ta</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995380" w:rsidRPr="00F91796" w:rsidTr="000858E1">
        <w:trPr>
          <w:trHeight w:hRule="exact" w:val="341"/>
        </w:trPr>
        <w:tc>
          <w:tcPr>
            <w:tcW w:w="8771" w:type="dxa"/>
            <w:gridSpan w:val="10"/>
            <w:tcBorders>
              <w:top w:val="single" w:sz="7" w:space="0" w:color="000000"/>
              <w:left w:val="single" w:sz="7" w:space="0" w:color="000000"/>
              <w:bottom w:val="single" w:sz="7" w:space="0" w:color="000000"/>
              <w:right w:val="single" w:sz="7" w:space="0" w:color="000000"/>
            </w:tcBorders>
          </w:tcPr>
          <w:p w:rsidR="00995380" w:rsidRPr="00F91796" w:rsidRDefault="00995380" w:rsidP="000858E1"/>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8</w:t>
            </w:r>
          </w:p>
        </w:tc>
        <w:tc>
          <w:tcPr>
            <w:tcW w:w="7789" w:type="dxa"/>
            <w:gridSpan w:val="8"/>
            <w:tcBorders>
              <w:top w:val="single" w:sz="7" w:space="0" w:color="000000"/>
              <w:left w:val="single" w:sz="7" w:space="0" w:color="000000"/>
              <w:bottom w:val="nil"/>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os</w:t>
            </w:r>
            <w:r w:rsidRPr="00F91796">
              <w:rPr>
                <w:rFonts w:ascii="Arial" w:eastAsia="Arial" w:hAnsi="Arial" w:cs="Arial"/>
                <w:b/>
                <w:spacing w:val="1"/>
                <w:sz w:val="18"/>
                <w:szCs w:val="18"/>
              </w:rPr>
              <w:t xml:space="preserve"> </w:t>
            </w:r>
            <w:r w:rsidRPr="00F91796">
              <w:rPr>
                <w:rFonts w:ascii="Arial" w:eastAsia="Arial" w:hAnsi="Arial" w:cs="Arial"/>
                <w:b/>
                <w:sz w:val="18"/>
                <w:szCs w:val="18"/>
              </w:rPr>
              <w:t>Bi</w:t>
            </w:r>
            <w:r w:rsidRPr="00F91796">
              <w:rPr>
                <w:rFonts w:ascii="Arial" w:eastAsia="Arial" w:hAnsi="Arial" w:cs="Arial"/>
                <w:b/>
                <w:spacing w:val="1"/>
                <w:sz w:val="18"/>
                <w:szCs w:val="18"/>
              </w:rPr>
              <w:t>o</w:t>
            </w:r>
            <w:r w:rsidRPr="00F91796">
              <w:rPr>
                <w:rFonts w:ascii="Arial" w:eastAsia="Arial" w:hAnsi="Arial" w:cs="Arial"/>
                <w:b/>
                <w:sz w:val="18"/>
                <w:szCs w:val="18"/>
              </w:rPr>
              <w:t>l</w:t>
            </w:r>
            <w:r w:rsidRPr="00F91796">
              <w:rPr>
                <w:rFonts w:ascii="Arial" w:eastAsia="Arial" w:hAnsi="Arial" w:cs="Arial"/>
                <w:b/>
                <w:spacing w:val="1"/>
                <w:sz w:val="18"/>
                <w:szCs w:val="18"/>
              </w:rPr>
              <w:t>ó</w:t>
            </w:r>
            <w:r w:rsidRPr="00F91796">
              <w:rPr>
                <w:rFonts w:ascii="Arial" w:eastAsia="Arial" w:hAnsi="Arial" w:cs="Arial"/>
                <w:b/>
                <w:sz w:val="18"/>
                <w:szCs w:val="18"/>
              </w:rPr>
              <w:t>g</w:t>
            </w:r>
            <w:r w:rsidRPr="00F91796">
              <w:rPr>
                <w:rFonts w:ascii="Arial" w:eastAsia="Arial" w:hAnsi="Arial" w:cs="Arial"/>
                <w:b/>
                <w:spacing w:val="1"/>
                <w:sz w:val="18"/>
                <w:szCs w:val="18"/>
              </w:rPr>
              <w:t>ic</w:t>
            </w:r>
            <w:r w:rsidRPr="00F91796">
              <w:rPr>
                <w:rFonts w:ascii="Arial" w:eastAsia="Arial" w:hAnsi="Arial" w:cs="Arial"/>
                <w:b/>
                <w:sz w:val="18"/>
                <w:szCs w:val="18"/>
              </w:rPr>
              <w:t>os</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z w:val="18"/>
                <w:szCs w:val="18"/>
              </w:rPr>
              <w:t>B</w:t>
            </w:r>
            <w:r w:rsidRPr="00F91796">
              <w:rPr>
                <w:rFonts w:ascii="Arial" w:eastAsia="Arial" w:hAnsi="Arial" w:cs="Arial"/>
                <w:spacing w:val="1"/>
                <w:sz w:val="18"/>
                <w:szCs w:val="18"/>
              </w:rPr>
              <w:t>o</w:t>
            </w:r>
            <w:r w:rsidRPr="00F91796">
              <w:rPr>
                <w:rFonts w:ascii="Arial" w:eastAsia="Arial" w:hAnsi="Arial" w:cs="Arial"/>
                <w:spacing w:val="-1"/>
                <w:sz w:val="18"/>
                <w:szCs w:val="18"/>
              </w:rPr>
              <w:t>v</w:t>
            </w:r>
            <w:r w:rsidRPr="00F91796">
              <w:rPr>
                <w:rFonts w:ascii="Arial" w:eastAsia="Arial" w:hAnsi="Arial" w:cs="Arial"/>
                <w:spacing w:val="1"/>
                <w:sz w:val="18"/>
                <w:szCs w:val="18"/>
              </w:rPr>
              <w:t>ino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ci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v</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Ov</w:t>
            </w:r>
            <w:r w:rsidRPr="00F91796">
              <w:rPr>
                <w:rFonts w:ascii="Arial" w:eastAsia="Arial" w:hAnsi="Arial" w:cs="Arial"/>
                <w:spacing w:val="1"/>
                <w:sz w:val="18"/>
                <w:szCs w:val="18"/>
              </w:rPr>
              <w:t>ino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ap</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ec</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cu</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u</w:t>
            </w:r>
            <w:r w:rsidRPr="00F91796">
              <w:rPr>
                <w:rFonts w:ascii="Arial" w:eastAsia="Arial" w:hAnsi="Arial" w:cs="Arial"/>
                <w:spacing w:val="1"/>
                <w:sz w:val="18"/>
                <w:szCs w:val="18"/>
              </w:rPr>
              <w:t>l</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quin</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RPr="00F91796" w:rsidTr="000858E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sp</w:t>
            </w:r>
            <w:r w:rsidRPr="00F91796">
              <w:rPr>
                <w:rFonts w:ascii="Arial" w:eastAsia="Arial" w:hAnsi="Arial" w:cs="Arial"/>
                <w:spacing w:val="-2"/>
                <w:sz w:val="18"/>
                <w:szCs w:val="18"/>
              </w:rPr>
              <w:t>e</w:t>
            </w:r>
            <w:r w:rsidRPr="00F91796">
              <w:rPr>
                <w:rFonts w:ascii="Arial" w:eastAsia="Arial" w:hAnsi="Arial" w:cs="Arial"/>
                <w:spacing w:val="1"/>
                <w:sz w:val="18"/>
                <w:szCs w:val="18"/>
              </w:rPr>
              <w:t>ci</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eno</w:t>
            </w:r>
            <w:r w:rsidRPr="00F91796">
              <w:rPr>
                <w:rFonts w:ascii="Arial" w:eastAsia="Arial" w:hAnsi="Arial" w:cs="Arial"/>
                <w:sz w:val="18"/>
                <w:szCs w:val="18"/>
              </w:rPr>
              <w:t>r</w:t>
            </w:r>
            <w:r w:rsidRPr="00F91796">
              <w:rPr>
                <w:rFonts w:ascii="Arial" w:eastAsia="Arial" w:hAnsi="Arial" w:cs="Arial"/>
                <w:spacing w:val="1"/>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Zo</w:t>
            </w:r>
            <w:r w:rsidRPr="00F91796">
              <w:rPr>
                <w:rFonts w:ascii="Arial" w:eastAsia="Arial" w:hAnsi="Arial" w:cs="Arial"/>
                <w:spacing w:val="-2"/>
                <w:sz w:val="18"/>
                <w:szCs w:val="18"/>
              </w:rPr>
              <w:t>o</w:t>
            </w:r>
            <w:r w:rsidRPr="00F91796">
              <w:rPr>
                <w:rFonts w:ascii="Arial" w:eastAsia="Arial" w:hAnsi="Arial" w:cs="Arial"/>
                <w:spacing w:val="1"/>
                <w:sz w:val="18"/>
                <w:szCs w:val="18"/>
              </w:rPr>
              <w:t>l</w:t>
            </w:r>
            <w:r w:rsidRPr="00F91796">
              <w:rPr>
                <w:rFonts w:ascii="Arial" w:eastAsia="Arial" w:hAnsi="Arial" w:cs="Arial"/>
                <w:spacing w:val="-2"/>
                <w:sz w:val="18"/>
                <w:szCs w:val="18"/>
              </w:rPr>
              <w:t>ó</w:t>
            </w:r>
            <w:r w:rsidRPr="00F91796">
              <w:rPr>
                <w:rFonts w:ascii="Arial" w:eastAsia="Arial" w:hAnsi="Arial" w:cs="Arial"/>
                <w:spacing w:val="1"/>
                <w:sz w:val="18"/>
                <w:szCs w:val="18"/>
              </w:rPr>
              <w:t>gic</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w:t>
            </w:r>
            <w:r w:rsidRPr="00F91796">
              <w:rPr>
                <w:rFonts w:ascii="Arial" w:eastAsia="Arial" w:hAnsi="Arial" w:cs="Arial"/>
                <w:sz w:val="18"/>
                <w:szCs w:val="18"/>
              </w:rPr>
              <w:t>0</w:t>
            </w:r>
          </w:p>
        </w:tc>
      </w:tr>
      <w:tr w:rsidR="00995380" w:rsidRPr="00F91796"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.8</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64"/>
              <w:rPr>
                <w:rFonts w:ascii="Arial" w:eastAsia="Arial" w:hAnsi="Arial" w:cs="Arial"/>
                <w:sz w:val="18"/>
                <w:szCs w:val="18"/>
              </w:rPr>
            </w:pPr>
            <w:proofErr w:type="spellStart"/>
            <w:r w:rsidRPr="00F91796">
              <w:rPr>
                <w:rFonts w:ascii="Arial" w:eastAsia="Arial" w:hAnsi="Arial" w:cs="Arial"/>
                <w:sz w:val="18"/>
                <w:szCs w:val="18"/>
              </w:rPr>
              <w:t>Ar</w:t>
            </w:r>
            <w:r w:rsidRPr="00F91796">
              <w:rPr>
                <w:rFonts w:ascii="Arial" w:eastAsia="Arial" w:hAnsi="Arial" w:cs="Arial"/>
                <w:spacing w:val="1"/>
                <w:sz w:val="18"/>
                <w:szCs w:val="18"/>
              </w:rPr>
              <w:t>bol</w:t>
            </w:r>
            <w:r w:rsidRPr="00F91796">
              <w:rPr>
                <w:rFonts w:ascii="Arial" w:eastAsia="Arial" w:hAnsi="Arial" w:cs="Arial"/>
                <w:spacing w:val="-2"/>
                <w:sz w:val="18"/>
                <w:szCs w:val="18"/>
              </w:rPr>
              <w:t>e</w:t>
            </w:r>
            <w:r w:rsidRPr="00F91796">
              <w:rPr>
                <w:rFonts w:ascii="Arial" w:eastAsia="Arial" w:hAnsi="Arial" w:cs="Arial"/>
                <w:sz w:val="18"/>
                <w:szCs w:val="18"/>
              </w:rPr>
              <w:t>s</w:t>
            </w:r>
            <w:proofErr w:type="spellEnd"/>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P</w:t>
            </w:r>
            <w:r w:rsidRPr="00F91796">
              <w:rPr>
                <w:rFonts w:ascii="Arial" w:eastAsia="Arial" w:hAnsi="Arial" w:cs="Arial"/>
                <w:spacing w:val="1"/>
                <w:sz w:val="18"/>
                <w:szCs w:val="18"/>
              </w:rPr>
              <w:t>la</w:t>
            </w:r>
            <w:r w:rsidRPr="00F91796">
              <w:rPr>
                <w:rFonts w:ascii="Arial" w:eastAsia="Arial" w:hAnsi="Arial" w:cs="Arial"/>
                <w:spacing w:val="-2"/>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995380" w:rsidTr="000858E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1"/>
                <w:sz w:val="18"/>
                <w:szCs w:val="18"/>
              </w:rPr>
              <w:t>ol</w:t>
            </w:r>
            <w:r w:rsidRPr="00F91796">
              <w:rPr>
                <w:rFonts w:ascii="Arial" w:eastAsia="Arial" w:hAnsi="Arial" w:cs="Arial"/>
                <w:spacing w:val="-2"/>
                <w:sz w:val="18"/>
                <w:szCs w:val="18"/>
              </w:rPr>
              <w:t>ó</w:t>
            </w:r>
            <w:r w:rsidRPr="00F91796">
              <w:rPr>
                <w:rFonts w:ascii="Arial" w:eastAsia="Arial" w:hAnsi="Arial" w:cs="Arial"/>
                <w:spacing w:val="1"/>
                <w:sz w:val="18"/>
                <w:szCs w:val="18"/>
              </w:rPr>
              <w:t>g</w:t>
            </w:r>
            <w:r w:rsidRPr="00F91796">
              <w:rPr>
                <w:rFonts w:ascii="Arial" w:eastAsia="Arial" w:hAnsi="Arial" w:cs="Arial"/>
                <w:spacing w:val="-2"/>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rsidR="00995380" w:rsidRPr="00F91796" w:rsidRDefault="00995380" w:rsidP="000858E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401" w:type="dxa"/>
            <w:gridSpan w:val="3"/>
            <w:tcBorders>
              <w:top w:val="single" w:sz="7" w:space="0" w:color="000000"/>
              <w:left w:val="single" w:sz="7" w:space="0" w:color="000000"/>
              <w:bottom w:val="single" w:sz="7" w:space="0" w:color="000000"/>
              <w:right w:val="single" w:sz="7" w:space="0" w:color="000000"/>
            </w:tcBorders>
          </w:tcPr>
          <w:p w:rsidR="00995380" w:rsidRDefault="00995380" w:rsidP="000858E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bl>
    <w:p w:rsidR="00995380" w:rsidRPr="00FC64E0" w:rsidRDefault="00995380" w:rsidP="00995380">
      <w:pPr>
        <w:rPr>
          <w:sz w:val="22"/>
        </w:rPr>
      </w:pPr>
    </w:p>
    <w:p w:rsidR="00995380" w:rsidRDefault="00995380" w:rsidP="00995380">
      <w:r>
        <w:t>Las notas informativas relacionadas a la Depreciación de los Bienes Muebles (Equipo de transporte y Equipo de Cómputo) e Inmuebles, son las siguientes de acuerdo a los controles internos de la Dirección de Patrimonio Estatal.</w:t>
      </w:r>
    </w:p>
    <w:p w:rsidR="00995380" w:rsidRDefault="00995380" w:rsidP="00995380"/>
    <w:p w:rsidR="00995380" w:rsidRDefault="00995380" w:rsidP="00995380">
      <w:r>
        <w:t xml:space="preserve">El control y registro se lleva a cabo considerando que la depreciación y amortización, es la distribución sistemática </w:t>
      </w:r>
      <w:r>
        <w:lastRenderedPageBreak/>
        <w:t>del costo de adquisición de un activo a lo largo de su vida útil, el monto de la depreciación como la amortización se calcula considerando el costo de adquisición del activo depreciable o amortizable, menos su valor de desecho, entre los años correspondientes a su vida útil o su vida económica, obteniendo un importe de la Deprecación Acumulada cuantificada al Primer Trimestre del Ejercicio Fiscal 2025 de la siguiente manera:</w:t>
      </w:r>
    </w:p>
    <w:p w:rsidR="00995380" w:rsidRDefault="00995380" w:rsidP="00995380"/>
    <w:tbl>
      <w:tblPr>
        <w:tblW w:w="9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8"/>
        <w:gridCol w:w="5650"/>
        <w:gridCol w:w="2006"/>
      </w:tblGrid>
      <w:tr w:rsidR="00995380" w:rsidRPr="00FC64E0" w:rsidTr="000858E1">
        <w:trPr>
          <w:trHeight w:val="259"/>
        </w:trPr>
        <w:tc>
          <w:tcPr>
            <w:tcW w:w="1408" w:type="dxa"/>
            <w:shd w:val="clear" w:color="auto" w:fill="C9C9C9"/>
            <w:noWrap/>
            <w:vAlign w:val="bottom"/>
            <w:hideMark/>
          </w:tcPr>
          <w:p w:rsidR="00995380" w:rsidRPr="002174C1" w:rsidRDefault="00995380" w:rsidP="000858E1">
            <w:pPr>
              <w:spacing w:before="0" w:after="0" w:line="240" w:lineRule="auto"/>
              <w:jc w:val="center"/>
              <w:rPr>
                <w:rFonts w:ascii="Calibri" w:eastAsia="Times New Roman" w:hAnsi="Calibri" w:cs="Calibri"/>
                <w:b/>
                <w:sz w:val="22"/>
                <w:szCs w:val="22"/>
                <w:lang w:val="es-MX" w:eastAsia="es-MX"/>
              </w:rPr>
            </w:pPr>
            <w:r w:rsidRPr="002174C1">
              <w:rPr>
                <w:rFonts w:ascii="Calibri" w:eastAsia="Times New Roman" w:hAnsi="Calibri" w:cs="Calibri"/>
                <w:b/>
                <w:sz w:val="22"/>
                <w:szCs w:val="22"/>
                <w:lang w:val="es-MX" w:eastAsia="es-MX"/>
              </w:rPr>
              <w:t>CUENTA</w:t>
            </w:r>
          </w:p>
        </w:tc>
        <w:tc>
          <w:tcPr>
            <w:tcW w:w="5650" w:type="dxa"/>
            <w:shd w:val="clear" w:color="auto" w:fill="C9C9C9"/>
            <w:noWrap/>
            <w:vAlign w:val="bottom"/>
            <w:hideMark/>
          </w:tcPr>
          <w:p w:rsidR="00995380" w:rsidRPr="002174C1" w:rsidRDefault="00995380" w:rsidP="000858E1">
            <w:pPr>
              <w:spacing w:before="0" w:after="0" w:line="240" w:lineRule="auto"/>
              <w:jc w:val="center"/>
              <w:rPr>
                <w:rFonts w:ascii="Calibri" w:eastAsia="Times New Roman" w:hAnsi="Calibri" w:cs="Calibri"/>
                <w:b/>
                <w:sz w:val="22"/>
                <w:szCs w:val="22"/>
                <w:lang w:val="es-MX" w:eastAsia="es-MX"/>
              </w:rPr>
            </w:pPr>
            <w:r w:rsidRPr="002174C1">
              <w:rPr>
                <w:rFonts w:ascii="Calibri" w:eastAsia="Times New Roman" w:hAnsi="Calibri" w:cs="Calibri"/>
                <w:b/>
                <w:sz w:val="22"/>
                <w:szCs w:val="22"/>
                <w:lang w:val="es-MX" w:eastAsia="es-MX"/>
              </w:rPr>
              <w:t>DESCRIPCIÓN</w:t>
            </w:r>
          </w:p>
        </w:tc>
        <w:tc>
          <w:tcPr>
            <w:tcW w:w="2006" w:type="dxa"/>
            <w:shd w:val="clear" w:color="auto" w:fill="C9C9C9"/>
            <w:noWrap/>
            <w:vAlign w:val="bottom"/>
            <w:hideMark/>
          </w:tcPr>
          <w:p w:rsidR="00995380" w:rsidRPr="002174C1" w:rsidRDefault="00995380" w:rsidP="000858E1">
            <w:pPr>
              <w:spacing w:before="0" w:after="0" w:line="240" w:lineRule="auto"/>
              <w:jc w:val="center"/>
              <w:rPr>
                <w:rFonts w:ascii="Calibri" w:eastAsia="Times New Roman" w:hAnsi="Calibri" w:cs="Calibri"/>
                <w:b/>
                <w:sz w:val="22"/>
                <w:szCs w:val="22"/>
                <w:lang w:val="es-MX" w:eastAsia="es-MX"/>
              </w:rPr>
            </w:pPr>
            <w:r w:rsidRPr="002174C1">
              <w:rPr>
                <w:rFonts w:ascii="Calibri" w:eastAsia="Times New Roman" w:hAnsi="Calibri" w:cs="Calibri"/>
                <w:b/>
                <w:sz w:val="22"/>
                <w:szCs w:val="22"/>
                <w:lang w:val="es-MX" w:eastAsia="es-MX"/>
              </w:rPr>
              <w:t>MONTO</w:t>
            </w:r>
          </w:p>
        </w:tc>
      </w:tr>
      <w:tr w:rsidR="00995380" w:rsidRPr="00FC64E0" w:rsidTr="000858E1">
        <w:trPr>
          <w:trHeight w:val="259"/>
        </w:trPr>
        <w:tc>
          <w:tcPr>
            <w:tcW w:w="1408" w:type="dxa"/>
            <w:shd w:val="clear" w:color="auto" w:fill="auto"/>
            <w:noWrap/>
            <w:vAlign w:val="bottom"/>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1263051501</w:t>
            </w:r>
          </w:p>
        </w:tc>
        <w:tc>
          <w:tcPr>
            <w:tcW w:w="5650" w:type="dxa"/>
            <w:shd w:val="clear" w:color="auto" w:fill="auto"/>
            <w:noWrap/>
            <w:vAlign w:val="bottom"/>
          </w:tcPr>
          <w:p w:rsidR="00995380" w:rsidRPr="00FC64E0" w:rsidRDefault="00995380" w:rsidP="000858E1">
            <w:pPr>
              <w:spacing w:before="0" w:after="0" w:line="240" w:lineRule="auto"/>
              <w:jc w:val="lef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EQUIPO DE COMPUTO Y TECNOLOGIAS DE LA INFORMACION</w:t>
            </w:r>
          </w:p>
        </w:tc>
        <w:tc>
          <w:tcPr>
            <w:tcW w:w="2006" w:type="dxa"/>
            <w:shd w:val="clear" w:color="auto" w:fill="auto"/>
            <w:noWrap/>
            <w:vAlign w:val="bottom"/>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1,759,865.91</w:t>
            </w:r>
          </w:p>
        </w:tc>
      </w:tr>
      <w:tr w:rsidR="00995380" w:rsidRPr="00FC64E0" w:rsidTr="000858E1">
        <w:trPr>
          <w:trHeight w:val="259"/>
        </w:trPr>
        <w:tc>
          <w:tcPr>
            <w:tcW w:w="1408"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1263054101</w:t>
            </w:r>
          </w:p>
        </w:tc>
        <w:tc>
          <w:tcPr>
            <w:tcW w:w="5650" w:type="dxa"/>
            <w:shd w:val="clear" w:color="auto" w:fill="auto"/>
            <w:noWrap/>
            <w:vAlign w:val="bottom"/>
            <w:hideMark/>
          </w:tcPr>
          <w:p w:rsidR="00995380" w:rsidRPr="00FC64E0" w:rsidRDefault="00995380" w:rsidP="000858E1">
            <w:pPr>
              <w:spacing w:before="0" w:after="0" w:line="240" w:lineRule="auto"/>
              <w:jc w:val="lef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VEHÍCULOS Y EQ TERR PARA LA EJEC DE PROG DE SP NAC</w:t>
            </w:r>
          </w:p>
        </w:tc>
        <w:tc>
          <w:tcPr>
            <w:tcW w:w="2006"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7,824,404.36</w:t>
            </w:r>
          </w:p>
        </w:tc>
      </w:tr>
      <w:tr w:rsidR="00995380" w:rsidRPr="00FC64E0" w:rsidTr="000858E1">
        <w:trPr>
          <w:trHeight w:val="259"/>
        </w:trPr>
        <w:tc>
          <w:tcPr>
            <w:tcW w:w="1408"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1263054103</w:t>
            </w:r>
          </w:p>
        </w:tc>
        <w:tc>
          <w:tcPr>
            <w:tcW w:w="5650" w:type="dxa"/>
            <w:shd w:val="clear" w:color="auto" w:fill="auto"/>
            <w:noWrap/>
            <w:vAlign w:val="bottom"/>
            <w:hideMark/>
          </w:tcPr>
          <w:p w:rsidR="00995380" w:rsidRPr="00FC64E0" w:rsidRDefault="00995380" w:rsidP="000858E1">
            <w:pPr>
              <w:spacing w:before="0" w:after="0" w:line="240" w:lineRule="auto"/>
              <w:jc w:val="lef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VEHÍCULOS Y EQ TERR DESTINADOS A SP Y OP DE PROG P</w:t>
            </w:r>
          </w:p>
        </w:tc>
        <w:tc>
          <w:tcPr>
            <w:tcW w:w="2006"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681,561.62</w:t>
            </w:r>
          </w:p>
        </w:tc>
      </w:tr>
      <w:tr w:rsidR="00995380" w:rsidRPr="00FC64E0" w:rsidTr="000858E1">
        <w:trPr>
          <w:trHeight w:val="259"/>
        </w:trPr>
        <w:tc>
          <w:tcPr>
            <w:tcW w:w="1408"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1263054104</w:t>
            </w:r>
          </w:p>
        </w:tc>
        <w:tc>
          <w:tcPr>
            <w:tcW w:w="5650" w:type="dxa"/>
            <w:shd w:val="clear" w:color="auto" w:fill="auto"/>
            <w:noWrap/>
            <w:vAlign w:val="bottom"/>
            <w:hideMark/>
          </w:tcPr>
          <w:p w:rsidR="00995380" w:rsidRPr="00FC64E0" w:rsidRDefault="00995380" w:rsidP="000858E1">
            <w:pPr>
              <w:spacing w:before="0" w:after="0" w:line="240" w:lineRule="auto"/>
              <w:jc w:val="lef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VEHÍCULOS Y EQ TERR DESTINADOS A SERV ADMTIVOS</w:t>
            </w:r>
          </w:p>
        </w:tc>
        <w:tc>
          <w:tcPr>
            <w:tcW w:w="2006"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2,334,487.59</w:t>
            </w:r>
          </w:p>
        </w:tc>
      </w:tr>
      <w:tr w:rsidR="00995380" w:rsidRPr="00FC64E0" w:rsidTr="000858E1">
        <w:trPr>
          <w:trHeight w:val="259"/>
        </w:trPr>
        <w:tc>
          <w:tcPr>
            <w:tcW w:w="1408"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1263054201</w:t>
            </w:r>
          </w:p>
        </w:tc>
        <w:tc>
          <w:tcPr>
            <w:tcW w:w="5650" w:type="dxa"/>
            <w:shd w:val="clear" w:color="auto" w:fill="auto"/>
            <w:noWrap/>
            <w:vAlign w:val="bottom"/>
            <w:hideMark/>
          </w:tcPr>
          <w:p w:rsidR="00995380" w:rsidRPr="00FC64E0" w:rsidRDefault="00995380" w:rsidP="000858E1">
            <w:pPr>
              <w:spacing w:before="0" w:after="0" w:line="240" w:lineRule="auto"/>
              <w:jc w:val="lef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CARROCERIAS Y REMOLQUES</w:t>
            </w:r>
          </w:p>
        </w:tc>
        <w:tc>
          <w:tcPr>
            <w:tcW w:w="2006"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4,322.68</w:t>
            </w:r>
          </w:p>
        </w:tc>
      </w:tr>
      <w:tr w:rsidR="00995380" w:rsidRPr="00FC64E0" w:rsidTr="000858E1">
        <w:trPr>
          <w:trHeight w:val="259"/>
        </w:trPr>
        <w:tc>
          <w:tcPr>
            <w:tcW w:w="1408"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1261201000</w:t>
            </w:r>
          </w:p>
        </w:tc>
        <w:tc>
          <w:tcPr>
            <w:tcW w:w="5650" w:type="dxa"/>
            <w:shd w:val="clear" w:color="auto" w:fill="auto"/>
            <w:noWrap/>
            <w:vAlign w:val="bottom"/>
            <w:hideMark/>
          </w:tcPr>
          <w:p w:rsidR="00995380" w:rsidRPr="00FC64E0" w:rsidRDefault="00995380" w:rsidP="000858E1">
            <w:pPr>
              <w:spacing w:before="0" w:after="0" w:line="240" w:lineRule="auto"/>
              <w:jc w:val="lef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DEP ACUM DE EDIFICIOS NO RESID PARA USOS PROPIOS</w:t>
            </w:r>
          </w:p>
        </w:tc>
        <w:tc>
          <w:tcPr>
            <w:tcW w:w="2006" w:type="dxa"/>
            <w:shd w:val="clear" w:color="auto" w:fill="auto"/>
            <w:noWrap/>
            <w:vAlign w:val="bottom"/>
            <w:hideMark/>
          </w:tcPr>
          <w:p w:rsidR="00995380" w:rsidRPr="00FC64E0" w:rsidRDefault="00995380" w:rsidP="000858E1">
            <w:pPr>
              <w:spacing w:before="0" w:after="0" w:line="240" w:lineRule="auto"/>
              <w:jc w:val="right"/>
              <w:rPr>
                <w:rFonts w:ascii="Calibri" w:eastAsia="Times New Roman" w:hAnsi="Calibri" w:cs="Calibri"/>
                <w:color w:val="000000"/>
                <w:sz w:val="22"/>
                <w:szCs w:val="22"/>
                <w:lang w:val="es-MX" w:eastAsia="es-MX"/>
              </w:rPr>
            </w:pPr>
            <w:r w:rsidRPr="00FC64E0">
              <w:rPr>
                <w:rFonts w:ascii="Calibri" w:eastAsia="Times New Roman" w:hAnsi="Calibri" w:cs="Calibri"/>
                <w:color w:val="000000"/>
                <w:sz w:val="22"/>
                <w:szCs w:val="22"/>
                <w:lang w:val="es-MX" w:eastAsia="es-MX"/>
              </w:rPr>
              <w:t>87,208,179.68</w:t>
            </w:r>
          </w:p>
        </w:tc>
      </w:tr>
    </w:tbl>
    <w:p w:rsidR="00995380" w:rsidRPr="00657726" w:rsidRDefault="00995380" w:rsidP="00995380"/>
    <w:p w:rsidR="00995380" w:rsidRPr="004F06F2" w:rsidRDefault="00995380" w:rsidP="00995380">
      <w:pPr>
        <w:spacing w:before="0" w:after="0"/>
        <w:rPr>
          <w:rFonts w:eastAsia="Calibri" w:cs="Times New Roman"/>
          <w:b/>
          <w:sz w:val="22"/>
          <w:szCs w:val="22"/>
        </w:rPr>
      </w:pPr>
      <w:r w:rsidRPr="0078545F">
        <w:rPr>
          <w:rFonts w:eastAsia="Calibri" w:cs="Times New Roman"/>
          <w:b/>
          <w:sz w:val="22"/>
          <w:szCs w:val="22"/>
        </w:rPr>
        <w:t>8. Fideicomisos, Mandatos y Análogos.</w:t>
      </w: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El gobierno del Estado de Michoacán cuenta con Fideicomisos sectorizados a sus diferentes Dependencias, los cuales se muestran a continuación:</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
          <w:bCs/>
          <w:sz w:val="22"/>
          <w:szCs w:val="22"/>
        </w:rPr>
      </w:pPr>
      <w:r w:rsidRPr="0078545F">
        <w:rPr>
          <w:rFonts w:eastAsia="Calibri" w:cs="Times New Roman"/>
          <w:b/>
          <w:bCs/>
          <w:sz w:val="22"/>
          <w:szCs w:val="22"/>
        </w:rPr>
        <w:t>a) Por ramo administrativo que los reporta.</w:t>
      </w:r>
    </w:p>
    <w:p w:rsidR="00995380" w:rsidRPr="004F06F2" w:rsidRDefault="00995380" w:rsidP="00995380">
      <w:pPr>
        <w:spacing w:before="0" w:after="0"/>
        <w:rPr>
          <w:rFonts w:eastAsia="Calibri" w:cs="Times New Roman"/>
          <w:b/>
          <w:bCs/>
          <w:sz w:val="22"/>
          <w:szCs w:val="22"/>
        </w:rPr>
      </w:pPr>
      <w:r w:rsidRPr="00ED4120">
        <w:rPr>
          <w:noProof/>
          <w:lang w:val="es-MX" w:eastAsia="es-MX"/>
        </w:rPr>
        <w:lastRenderedPageBreak/>
        <w:drawing>
          <wp:inline distT="0" distB="0" distL="0" distR="0" wp14:anchorId="24FB2652" wp14:editId="51F9F11A">
            <wp:extent cx="6353175" cy="70575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7137" cy="7106405"/>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bCs/>
          <w:sz w:val="22"/>
          <w:szCs w:val="22"/>
        </w:rPr>
      </w:pPr>
      <w:r w:rsidRPr="0078545F">
        <w:rPr>
          <w:noProof/>
          <w:lang w:val="es-MX" w:eastAsia="es-MX"/>
        </w:rPr>
        <w:lastRenderedPageBreak/>
        <w:drawing>
          <wp:inline distT="0" distB="0" distL="0" distR="0" wp14:anchorId="7CA36010" wp14:editId="22A93C0D">
            <wp:extent cx="6334125" cy="8257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032" cy="8281716"/>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bCs/>
          <w:sz w:val="22"/>
          <w:szCs w:val="22"/>
        </w:rPr>
      </w:pPr>
      <w:r w:rsidRPr="0078545F">
        <w:rPr>
          <w:noProof/>
          <w:lang w:val="es-MX" w:eastAsia="es-MX"/>
        </w:rPr>
        <w:lastRenderedPageBreak/>
        <w:drawing>
          <wp:inline distT="0" distB="0" distL="0" distR="0" wp14:anchorId="51718A79" wp14:editId="0BDA364D">
            <wp:extent cx="6353175" cy="815305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277" cy="8181416"/>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bCs/>
          <w:sz w:val="22"/>
          <w:szCs w:val="22"/>
        </w:rPr>
      </w:pPr>
      <w:r w:rsidRPr="0078545F">
        <w:rPr>
          <w:noProof/>
          <w:lang w:val="es-MX" w:eastAsia="es-MX"/>
        </w:rPr>
        <w:lastRenderedPageBreak/>
        <w:drawing>
          <wp:inline distT="0" distB="0" distL="0" distR="0" wp14:anchorId="4D61E27E" wp14:editId="3F3AD04B">
            <wp:extent cx="6343650" cy="819138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776" cy="8223826"/>
                    </a:xfrm>
                    <a:prstGeom prst="rect">
                      <a:avLst/>
                    </a:prstGeom>
                    <a:noFill/>
                    <a:ln>
                      <a:noFill/>
                    </a:ln>
                  </pic:spPr>
                </pic:pic>
              </a:graphicData>
            </a:graphic>
          </wp:inline>
        </w:drawing>
      </w:r>
    </w:p>
    <w:p w:rsidR="00995380" w:rsidRPr="004F06F2" w:rsidRDefault="00995380" w:rsidP="00995380">
      <w:pPr>
        <w:spacing w:before="0" w:after="0"/>
        <w:jc w:val="center"/>
        <w:rPr>
          <w:rFonts w:eastAsia="Calibri" w:cs="Times New Roman"/>
          <w:b/>
          <w:bCs/>
          <w:sz w:val="22"/>
          <w:szCs w:val="22"/>
        </w:rPr>
      </w:pPr>
    </w:p>
    <w:p w:rsidR="00995380" w:rsidRPr="004F06F2" w:rsidRDefault="00995380" w:rsidP="00995380">
      <w:pPr>
        <w:spacing w:before="0" w:after="0"/>
        <w:rPr>
          <w:noProof/>
          <w:lang w:val="es-MX" w:eastAsia="es-MX"/>
        </w:rPr>
      </w:pPr>
      <w:r w:rsidRPr="0078545F">
        <w:rPr>
          <w:rFonts w:eastAsia="Calibri" w:cs="Times New Roman"/>
          <w:bCs/>
          <w:sz w:val="22"/>
          <w:szCs w:val="22"/>
        </w:rPr>
        <w:t>b) Enlistar los de mayor monto de disponibilidad, relacionando aquéllos que conforman al menos el 80% de las disponibilidades.</w:t>
      </w:r>
    </w:p>
    <w:p w:rsidR="00995380" w:rsidRPr="0078545F" w:rsidRDefault="00995380" w:rsidP="00995380">
      <w:pPr>
        <w:spacing w:before="0" w:after="0"/>
        <w:rPr>
          <w:rFonts w:eastAsia="Calibri" w:cs="Times New Roman"/>
          <w:bCs/>
          <w:sz w:val="22"/>
          <w:szCs w:val="22"/>
        </w:rPr>
      </w:pPr>
      <w:r w:rsidRPr="0078545F">
        <w:rPr>
          <w:noProof/>
          <w:lang w:val="es-MX" w:eastAsia="es-MX"/>
        </w:rPr>
        <w:drawing>
          <wp:inline distT="0" distB="0" distL="0" distR="0" wp14:anchorId="4E55A2E3" wp14:editId="4656CFE8">
            <wp:extent cx="6362700" cy="75285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2336" cy="7551794"/>
                    </a:xfrm>
                    <a:prstGeom prst="rect">
                      <a:avLst/>
                    </a:prstGeom>
                    <a:noFill/>
                    <a:ln>
                      <a:noFill/>
                    </a:ln>
                  </pic:spPr>
                </pic:pic>
              </a:graphicData>
            </a:graphic>
          </wp:inline>
        </w:drawing>
      </w:r>
    </w:p>
    <w:p w:rsidR="00995380" w:rsidRDefault="00995380" w:rsidP="00995380">
      <w:pPr>
        <w:spacing w:before="0" w:after="0"/>
        <w:rPr>
          <w:rFonts w:eastAsia="Calibri" w:cs="Times New Roman"/>
          <w:b/>
          <w:sz w:val="22"/>
          <w:szCs w:val="22"/>
        </w:rPr>
      </w:pPr>
      <w:r w:rsidRPr="00657726">
        <w:rPr>
          <w:rFonts w:eastAsia="Calibri" w:cs="Times New Roman"/>
          <w:b/>
          <w:sz w:val="22"/>
          <w:szCs w:val="22"/>
        </w:rPr>
        <w:lastRenderedPageBreak/>
        <w:t>9. Reporte de la Recaudación</w:t>
      </w:r>
    </w:p>
    <w:p w:rsidR="00995380" w:rsidRPr="004F06F2" w:rsidRDefault="00995380" w:rsidP="00995380">
      <w:pPr>
        <w:spacing w:before="0" w:after="0"/>
        <w:rPr>
          <w:rFonts w:eastAsia="Calibri" w:cs="Times New Roman"/>
          <w:b/>
          <w:sz w:val="22"/>
          <w:szCs w:val="22"/>
        </w:rPr>
      </w:pPr>
    </w:p>
    <w:p w:rsidR="00995380" w:rsidRDefault="00995380" w:rsidP="00995380">
      <w:pPr>
        <w:spacing w:before="0" w:after="0"/>
        <w:rPr>
          <w:rFonts w:eastAsia="Calibri" w:cs="Times New Roman"/>
          <w:b/>
          <w:sz w:val="22"/>
          <w:szCs w:val="22"/>
        </w:rPr>
      </w:pPr>
      <w:r>
        <w:rPr>
          <w:rFonts w:eastAsia="Calibri" w:cs="Times New Roman"/>
          <w:b/>
          <w:sz w:val="22"/>
          <w:szCs w:val="22"/>
        </w:rPr>
        <w:t xml:space="preserve">a) </w:t>
      </w:r>
      <w:r w:rsidRPr="00EF4AE7">
        <w:rPr>
          <w:rFonts w:eastAsia="Calibri" w:cs="Times New Roman"/>
          <w:b/>
          <w:sz w:val="22"/>
          <w:szCs w:val="22"/>
        </w:rPr>
        <w:t>Análisis del comportamiento de la recaudación</w:t>
      </w:r>
    </w:p>
    <w:p w:rsidR="00995380" w:rsidRPr="00EF4AE7" w:rsidRDefault="00995380" w:rsidP="00995380">
      <w:pPr>
        <w:spacing w:before="0" w:after="0"/>
        <w:rPr>
          <w:rFonts w:eastAsia="Calibri"/>
          <w:b/>
          <w:sz w:val="22"/>
          <w:szCs w:val="22"/>
        </w:rPr>
      </w:pPr>
    </w:p>
    <w:p w:rsidR="00995380" w:rsidRPr="00EF4AE7" w:rsidRDefault="00995380" w:rsidP="00995380">
      <w:pPr>
        <w:rPr>
          <w:rFonts w:eastAsia="Calibri"/>
          <w:b/>
          <w:sz w:val="22"/>
          <w:szCs w:val="22"/>
        </w:rPr>
      </w:pPr>
      <w:r w:rsidRPr="00EF4AE7">
        <w:rPr>
          <w:rFonts w:eastAsia="Calibri" w:cs="Times New Roman"/>
          <w:b/>
          <w:sz w:val="22"/>
          <w:szCs w:val="22"/>
        </w:rPr>
        <w:t>I.</w:t>
      </w:r>
      <w:r>
        <w:rPr>
          <w:rFonts w:eastAsia="Calibri"/>
          <w:b/>
          <w:sz w:val="22"/>
          <w:szCs w:val="22"/>
        </w:rPr>
        <w:t xml:space="preserve"> </w:t>
      </w:r>
      <w:r w:rsidRPr="00EF4AE7">
        <w:rPr>
          <w:rFonts w:eastAsia="Calibri"/>
          <w:b/>
          <w:sz w:val="22"/>
          <w:szCs w:val="22"/>
        </w:rPr>
        <w:t>Ingresos de Fuentes Locales</w:t>
      </w:r>
    </w:p>
    <w:p w:rsidR="00995380" w:rsidRDefault="00995380" w:rsidP="00995380">
      <w:pPr>
        <w:rPr>
          <w:sz w:val="22"/>
        </w:rPr>
      </w:pPr>
      <w:r w:rsidRPr="00657726">
        <w:rPr>
          <w:sz w:val="22"/>
        </w:rPr>
        <w:t>Para 2025, la estimación total de ingresos fue de 98 mil 935 millones, 474 mil 315 pesos; en este ejercicio la proporción de ingresos locales estimados subió a 8.59 por ciento, respecto al ejercicio 2024, impulsado por un esfuerzo en las acciones de fiscalización por adeudos pendientes de impuestos y derechos; mientras que los ingresos federales rep</w:t>
      </w:r>
      <w:r>
        <w:rPr>
          <w:sz w:val="22"/>
        </w:rPr>
        <w:t>resentaron un 91.41 por ciento.</w:t>
      </w:r>
    </w:p>
    <w:p w:rsidR="00995380" w:rsidRPr="00657726" w:rsidRDefault="00995380" w:rsidP="00995380">
      <w:pPr>
        <w:rPr>
          <w:sz w:val="22"/>
        </w:rPr>
      </w:pPr>
    </w:p>
    <w:p w:rsidR="00995380" w:rsidRPr="00657726" w:rsidRDefault="00995380" w:rsidP="00995380">
      <w:pPr>
        <w:rPr>
          <w:sz w:val="22"/>
        </w:rPr>
      </w:pPr>
      <w:r w:rsidRPr="00657726">
        <w:rPr>
          <w:sz w:val="22"/>
        </w:rPr>
        <w:t xml:space="preserve">En materia de impuestos, el Impuesto sobre Nómina representa la mayor fuente recaudatoria con el 92.24 por ciento respecto a los impuestos y un 42 por ciento respecto al total de ingresos propios, cerrando el </w:t>
      </w:r>
      <w:r>
        <w:rPr>
          <w:sz w:val="22"/>
        </w:rPr>
        <w:t xml:space="preserve">primer </w:t>
      </w:r>
      <w:r w:rsidRPr="00657726">
        <w:rPr>
          <w:sz w:val="22"/>
        </w:rPr>
        <w:t>trimestre</w:t>
      </w:r>
      <w:r>
        <w:rPr>
          <w:sz w:val="22"/>
        </w:rPr>
        <w:t xml:space="preserve"> de 2025</w:t>
      </w:r>
      <w:r w:rsidRPr="00657726">
        <w:rPr>
          <w:sz w:val="22"/>
        </w:rPr>
        <w:t xml:space="preserve"> en 1,097 millones 191 mil 390 pesos, lo que representa un avance de 28 por ciento respecto al total programado en la Ley de Ingresos, consolidando la recaudación de los contribuyentes del sector privado y la de adeudos pendientes del sector público estatal.</w:t>
      </w:r>
    </w:p>
    <w:p w:rsidR="00995380" w:rsidRPr="00657726" w:rsidRDefault="00995380" w:rsidP="00995380">
      <w:pPr>
        <w:rPr>
          <w:sz w:val="22"/>
        </w:rPr>
      </w:pPr>
    </w:p>
    <w:p w:rsidR="00995380" w:rsidRPr="00657726" w:rsidRDefault="00995380" w:rsidP="00995380">
      <w:pPr>
        <w:rPr>
          <w:sz w:val="22"/>
        </w:rPr>
      </w:pPr>
      <w:r w:rsidRPr="00657726">
        <w:rPr>
          <w:sz w:val="22"/>
        </w:rPr>
        <w:t>La recaudación de Derechos correspondientes a Servicios de Transporte Particular representó el 8</w:t>
      </w:r>
      <w:r>
        <w:rPr>
          <w:sz w:val="22"/>
        </w:rPr>
        <w:t>6</w:t>
      </w:r>
      <w:r w:rsidRPr="00657726">
        <w:rPr>
          <w:sz w:val="22"/>
        </w:rPr>
        <w:t xml:space="preserve"> por ciento del total de los Derechos por Prestación de Servicios Estatales y un 52 por ciento de su meta programada. Se mantuvieron los esquemas para facilitar el pago del refrendo vehicular digital en línea, así como el subsidio del 10 diez por ciento al pago de derechos por concepto de refrendo anual de circulación a partir del primero de enero de 2025 y hasta el 31 de enero de 2025, con la finalidad de incentivar el cumplimiento puntual de las contribuciones en materia de derechos por transporte particular. </w:t>
      </w:r>
    </w:p>
    <w:p w:rsidR="00995380" w:rsidRPr="00657726" w:rsidRDefault="00995380" w:rsidP="00995380">
      <w:pPr>
        <w:rPr>
          <w:sz w:val="22"/>
        </w:rPr>
      </w:pPr>
    </w:p>
    <w:p w:rsidR="00995380" w:rsidRPr="00657726" w:rsidRDefault="00995380" w:rsidP="00995380">
      <w:pPr>
        <w:rPr>
          <w:sz w:val="22"/>
        </w:rPr>
      </w:pPr>
      <w:r w:rsidRPr="00657726">
        <w:rPr>
          <w:sz w:val="22"/>
        </w:rPr>
        <w:lastRenderedPageBreak/>
        <w:t>En materia de Productos se obtuvo un avance del 28 por ciento, principalmente por los rendimientos de capital y valores</w:t>
      </w:r>
      <w:r>
        <w:rPr>
          <w:sz w:val="22"/>
        </w:rPr>
        <w:t xml:space="preserve">, los cuales </w:t>
      </w:r>
      <w:r w:rsidRPr="00657726">
        <w:rPr>
          <w:sz w:val="22"/>
        </w:rPr>
        <w:t>cerraron el primer trimestre</w:t>
      </w:r>
      <w:r>
        <w:rPr>
          <w:sz w:val="22"/>
        </w:rPr>
        <w:t xml:space="preserve"> de 2025</w:t>
      </w:r>
      <w:r w:rsidRPr="00657726">
        <w:rPr>
          <w:sz w:val="22"/>
        </w:rPr>
        <w:t xml:space="preserve"> en 70 millones, 139 mil, 100 pesos.</w:t>
      </w:r>
    </w:p>
    <w:p w:rsidR="00995380" w:rsidRPr="00657726" w:rsidRDefault="00995380" w:rsidP="00995380">
      <w:pPr>
        <w:rPr>
          <w:sz w:val="22"/>
        </w:rPr>
      </w:pPr>
    </w:p>
    <w:p w:rsidR="00995380" w:rsidRPr="00657726" w:rsidRDefault="00995380" w:rsidP="00995380">
      <w:pPr>
        <w:rPr>
          <w:sz w:val="22"/>
        </w:rPr>
      </w:pPr>
      <w:r w:rsidRPr="00657726">
        <w:rPr>
          <w:sz w:val="22"/>
        </w:rPr>
        <w:t>Dentro de los Aprovechamientos, se tiene un avance del 0.68 por ciento respecto a lo programado por un total de 4 millones 817 mil 367 pesos.</w:t>
      </w:r>
    </w:p>
    <w:p w:rsidR="00995380" w:rsidRPr="00657726" w:rsidRDefault="00995380" w:rsidP="00995380">
      <w:pPr>
        <w:rPr>
          <w:sz w:val="22"/>
        </w:rPr>
      </w:pPr>
    </w:p>
    <w:p w:rsidR="00995380" w:rsidRPr="004142A6" w:rsidRDefault="00995380" w:rsidP="00995380">
      <w:pPr>
        <w:rPr>
          <w:b/>
          <w:sz w:val="22"/>
        </w:rPr>
      </w:pPr>
      <w:r w:rsidRPr="004142A6">
        <w:rPr>
          <w:b/>
          <w:sz w:val="22"/>
        </w:rPr>
        <w:t>II.</w:t>
      </w:r>
      <w:r w:rsidRPr="004142A6">
        <w:rPr>
          <w:b/>
          <w:sz w:val="22"/>
        </w:rPr>
        <w:tab/>
        <w:t>Ingresos de Fuentes Federales</w:t>
      </w:r>
      <w:r>
        <w:rPr>
          <w:b/>
          <w:sz w:val="22"/>
        </w:rPr>
        <w:t>.</w:t>
      </w:r>
    </w:p>
    <w:p w:rsidR="00995380" w:rsidRPr="00657726" w:rsidRDefault="00995380" w:rsidP="00995380">
      <w:pPr>
        <w:rPr>
          <w:sz w:val="22"/>
        </w:rPr>
      </w:pPr>
      <w:r w:rsidRPr="00657726">
        <w:rPr>
          <w:sz w:val="22"/>
        </w:rPr>
        <w:t>Las Participaciones Federales presentan un 26 por ciento de avance al primer trimestre respecto a lo programado en Ley de Ingresos 2025. En ese sentido, los recursos recibidos de participaciones ascendieron a 10 mil 931 millones 160 mil 147 pesos.</w:t>
      </w:r>
    </w:p>
    <w:p w:rsidR="00995380" w:rsidRPr="00657726" w:rsidRDefault="00995380" w:rsidP="00995380">
      <w:pPr>
        <w:rPr>
          <w:sz w:val="22"/>
        </w:rPr>
      </w:pPr>
      <w:r w:rsidRPr="00657726">
        <w:rPr>
          <w:sz w:val="22"/>
        </w:rPr>
        <w:t xml:space="preserve">Por su parte, los recursos de Aportaciones Federales del Ramo 33 presentaron un avance del 24 por ciento por la cantidad de 10 mil 052 millones 589 mil 674 pesos; </w:t>
      </w:r>
      <w:r w:rsidRPr="00FB251F">
        <w:rPr>
          <w:sz w:val="22"/>
        </w:rPr>
        <w:t>las transferencias por Convenio un 41.51 por ciento,</w:t>
      </w:r>
      <w:r w:rsidRPr="00657726">
        <w:rPr>
          <w:sz w:val="22"/>
        </w:rPr>
        <w:t xml:space="preserve"> debido a que en la Ley de Ingresos solo se estiman los convenios recurrentes más significativos en materia de educación y salud. </w:t>
      </w:r>
    </w:p>
    <w:p w:rsidR="00995380" w:rsidRPr="00657726" w:rsidRDefault="00995380" w:rsidP="00995380">
      <w:pPr>
        <w:rPr>
          <w:sz w:val="22"/>
        </w:rPr>
      </w:pPr>
      <w:r w:rsidRPr="00657726">
        <w:rPr>
          <w:sz w:val="22"/>
        </w:rPr>
        <w:t>Finalmente, los Incentivos derivados de la Colaboración Fiscal presentan un avance del 30 por ciento respecto a lo programado en todo el ejercicio fiscal, principalmente de Incentivos de Fiscalización Concurrente, establecidos mediante el Convenio de Colaboración Administrativa en Materia Fiscal Federal.</w:t>
      </w:r>
    </w:p>
    <w:p w:rsidR="00995380" w:rsidRPr="00657726" w:rsidRDefault="00995380" w:rsidP="00995380">
      <w:pPr>
        <w:rPr>
          <w:sz w:val="22"/>
        </w:rPr>
      </w:pPr>
    </w:p>
    <w:p w:rsidR="00995380" w:rsidRPr="004142A6" w:rsidRDefault="00995380" w:rsidP="00995380">
      <w:pPr>
        <w:rPr>
          <w:b/>
          <w:sz w:val="22"/>
        </w:rPr>
      </w:pPr>
      <w:r w:rsidRPr="004142A6">
        <w:rPr>
          <w:b/>
          <w:sz w:val="22"/>
        </w:rPr>
        <w:t>b)</w:t>
      </w:r>
      <w:r w:rsidRPr="004142A6">
        <w:rPr>
          <w:b/>
          <w:sz w:val="22"/>
        </w:rPr>
        <w:tab/>
        <w:t>Proyección de la recaudación en el mediano plazo</w:t>
      </w:r>
    </w:p>
    <w:p w:rsidR="00995380" w:rsidRPr="00657726" w:rsidRDefault="00995380" w:rsidP="00995380">
      <w:pPr>
        <w:rPr>
          <w:sz w:val="22"/>
        </w:rPr>
      </w:pPr>
    </w:p>
    <w:p w:rsidR="00995380" w:rsidRDefault="00995380" w:rsidP="00995380">
      <w:pPr>
        <w:rPr>
          <w:b/>
          <w:sz w:val="22"/>
        </w:rPr>
      </w:pPr>
      <w:r w:rsidRPr="004142A6">
        <w:rPr>
          <w:b/>
          <w:sz w:val="22"/>
        </w:rPr>
        <w:t>I.</w:t>
      </w:r>
      <w:r w:rsidRPr="004142A6">
        <w:rPr>
          <w:b/>
          <w:sz w:val="22"/>
        </w:rPr>
        <w:tab/>
        <w:t>Ingresos de Fuentes Locales</w:t>
      </w:r>
    </w:p>
    <w:p w:rsidR="00995380" w:rsidRPr="004142A6" w:rsidRDefault="00995380" w:rsidP="00995380">
      <w:pPr>
        <w:rPr>
          <w:b/>
          <w:sz w:val="22"/>
        </w:rPr>
      </w:pPr>
    </w:p>
    <w:p w:rsidR="00995380" w:rsidRDefault="00995380" w:rsidP="00995380">
      <w:pPr>
        <w:rPr>
          <w:sz w:val="22"/>
        </w:rPr>
      </w:pPr>
      <w:r w:rsidRPr="00657726">
        <w:rPr>
          <w:sz w:val="22"/>
        </w:rPr>
        <w:t xml:space="preserve">Para realizar el pronóstico de los impuestos a recaudar en el período 2025-2030 se implementó un análisis econométrico de </w:t>
      </w:r>
      <w:proofErr w:type="spellStart"/>
      <w:r w:rsidRPr="00657726">
        <w:rPr>
          <w:sz w:val="22"/>
        </w:rPr>
        <w:t>suavizamiento</w:t>
      </w:r>
      <w:proofErr w:type="spellEnd"/>
      <w:r w:rsidRPr="00657726">
        <w:rPr>
          <w:sz w:val="22"/>
        </w:rPr>
        <w:t xml:space="preserve"> exponencial multiplicativo, utilizando los datos de recaudación en </w:t>
      </w:r>
      <w:r w:rsidRPr="00657726">
        <w:rPr>
          <w:sz w:val="22"/>
        </w:rPr>
        <w:lastRenderedPageBreak/>
        <w:t xml:space="preserve">una serie de tiempo mensual de julio de 2018 a agosto del 2024, a partir de los cuales el modelo proyecta la cantidad a recaudar por cada mes correspondiente del año 2025, en función del comportamiento histórico del período. Adicionalmente se consideran otras variables que tienen incidencia específica en la proyección de cada uno de los impuestos estatales: </w:t>
      </w:r>
    </w:p>
    <w:p w:rsidR="00995380" w:rsidRPr="00657726" w:rsidRDefault="00995380" w:rsidP="00995380">
      <w:pPr>
        <w:rPr>
          <w:sz w:val="22"/>
        </w:rPr>
      </w:pPr>
      <w:r w:rsidRPr="00657726">
        <w:rPr>
          <w:sz w:val="22"/>
        </w:rPr>
        <w:t>a. Composición del Padrón de Contribuyentes, en donde la recaudación del sector público federal, estatal y municipal, para el caso del Impuesto sobre Nómina tiene un comportamiento distinto a la del sector privado.</w:t>
      </w:r>
    </w:p>
    <w:p w:rsidR="00995380" w:rsidRPr="00657726" w:rsidRDefault="00995380" w:rsidP="00995380">
      <w:pPr>
        <w:rPr>
          <w:sz w:val="22"/>
        </w:rPr>
      </w:pPr>
      <w:r w:rsidRPr="00657726">
        <w:rPr>
          <w:sz w:val="22"/>
        </w:rPr>
        <w:t>b. Valuación de estrategias para recuperación de adeudos de contribuyentes del sector privado.</w:t>
      </w:r>
    </w:p>
    <w:p w:rsidR="00995380" w:rsidRPr="00657726" w:rsidRDefault="00995380" w:rsidP="00995380">
      <w:pPr>
        <w:rPr>
          <w:sz w:val="22"/>
        </w:rPr>
      </w:pPr>
      <w:r w:rsidRPr="00657726">
        <w:rPr>
          <w:sz w:val="22"/>
        </w:rPr>
        <w:t>c. Valuación de estrategias de incorporación al padrón.</w:t>
      </w:r>
    </w:p>
    <w:p w:rsidR="00995380" w:rsidRPr="00657726" w:rsidRDefault="00995380" w:rsidP="00995380">
      <w:pPr>
        <w:rPr>
          <w:sz w:val="22"/>
        </w:rPr>
      </w:pPr>
      <w:r w:rsidRPr="00657726">
        <w:rPr>
          <w:sz w:val="22"/>
        </w:rPr>
        <w:t>d. Ponderación del indicador de la actividad económica estatal, en la perspectiva de la creación de empresas y puestos de trabajo en Michoacán y que determinen la incorporación al padrón estatal.</w:t>
      </w:r>
    </w:p>
    <w:p w:rsidR="00995380" w:rsidRPr="00657726" w:rsidRDefault="00995380" w:rsidP="00995380">
      <w:pPr>
        <w:rPr>
          <w:sz w:val="22"/>
        </w:rPr>
      </w:pPr>
    </w:p>
    <w:p w:rsidR="00995380" w:rsidRPr="00657726" w:rsidRDefault="00995380" w:rsidP="00995380">
      <w:pPr>
        <w:rPr>
          <w:sz w:val="22"/>
        </w:rPr>
      </w:pPr>
      <w:r w:rsidRPr="00657726">
        <w:rPr>
          <w:sz w:val="22"/>
        </w:rPr>
        <w:t xml:space="preserve">La proyección de Derechos se realizó con base en el número de trámites mensuales, multiplicados por la tarifa correspondiente proyectada, considerando el margen de la inflación establecida en los Criterios Generales de Política Económica para 2025. </w:t>
      </w:r>
    </w:p>
    <w:p w:rsidR="00995380" w:rsidRPr="00657726" w:rsidRDefault="00995380" w:rsidP="00995380">
      <w:pPr>
        <w:rPr>
          <w:sz w:val="22"/>
        </w:rPr>
      </w:pPr>
    </w:p>
    <w:p w:rsidR="00995380" w:rsidRPr="00657726" w:rsidRDefault="00995380" w:rsidP="00995380">
      <w:pPr>
        <w:rPr>
          <w:sz w:val="22"/>
        </w:rPr>
      </w:pPr>
      <w:r w:rsidRPr="00657726">
        <w:rPr>
          <w:sz w:val="22"/>
        </w:rPr>
        <w:t>La proyección de Productos, Aprovechamientos e Ingresos por Venta de Bienes se realiza con base en la tasa de crecimiento anual observada desde el ejercicio 2018-2024 y una estimación de esfuerzo recaudatorio promedio de 10% anual.</w:t>
      </w:r>
    </w:p>
    <w:p w:rsidR="00995380" w:rsidRPr="00657726" w:rsidRDefault="00995380" w:rsidP="00995380">
      <w:pPr>
        <w:rPr>
          <w:sz w:val="22"/>
        </w:rPr>
      </w:pPr>
      <w:r w:rsidRPr="00657726">
        <w:rPr>
          <w:sz w:val="22"/>
        </w:rPr>
        <w:t>Los ingresos propios observan un crecimiento promedio anual de 10% en el período, atendiendo a la meta establecida por el Plan Integral de Desarrollo del Estado de Michoacán 2021-2027.</w:t>
      </w:r>
    </w:p>
    <w:p w:rsidR="00995380" w:rsidRPr="00657726" w:rsidRDefault="00995380" w:rsidP="00995380">
      <w:pPr>
        <w:rPr>
          <w:sz w:val="22"/>
        </w:rPr>
      </w:pPr>
    </w:p>
    <w:p w:rsidR="00995380" w:rsidRPr="004142A6" w:rsidRDefault="00995380" w:rsidP="00995380">
      <w:pPr>
        <w:rPr>
          <w:b/>
          <w:sz w:val="22"/>
        </w:rPr>
      </w:pPr>
      <w:r w:rsidRPr="004142A6">
        <w:rPr>
          <w:b/>
          <w:sz w:val="22"/>
        </w:rPr>
        <w:t>II.</w:t>
      </w:r>
      <w:r w:rsidRPr="004142A6">
        <w:rPr>
          <w:b/>
          <w:sz w:val="22"/>
        </w:rPr>
        <w:tab/>
        <w:t>Ingresos de Fuentes Federales</w:t>
      </w:r>
    </w:p>
    <w:p w:rsidR="00995380" w:rsidRPr="00657726" w:rsidRDefault="00995380" w:rsidP="00995380">
      <w:pPr>
        <w:rPr>
          <w:sz w:val="22"/>
        </w:rPr>
      </w:pPr>
      <w:r w:rsidRPr="00657726">
        <w:rPr>
          <w:sz w:val="22"/>
        </w:rPr>
        <w:t xml:space="preserve">La estimación de Participaciones, Aportaciones y Convenios se determinaron con base en el monto nacional definido en el Proyecto </w:t>
      </w:r>
      <w:r w:rsidRPr="00657726">
        <w:rPr>
          <w:sz w:val="22"/>
        </w:rPr>
        <w:lastRenderedPageBreak/>
        <w:t>de Presupuesto de Egresos de la Federación, que asciende a 1 billón 340 mil 210 millones de pesos, y considerando los coeficientes de distribución observados en los últimos 5 años, en los que Michoacán tiene una participación promedio de 3.32 por ciento en el total nacional.</w:t>
      </w: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p>
    <w:p w:rsidR="00995380" w:rsidRPr="004F06F2" w:rsidRDefault="00995380" w:rsidP="00995380">
      <w:pPr>
        <w:spacing w:before="0" w:after="0"/>
        <w:rPr>
          <w:rFonts w:eastAsia="Calibri" w:cs="Times New Roman"/>
          <w:b/>
          <w:sz w:val="22"/>
          <w:szCs w:val="22"/>
        </w:rPr>
      </w:pPr>
      <w:r w:rsidRPr="00827DBB">
        <w:rPr>
          <w:rFonts w:eastAsia="Calibri" w:cs="Times New Roman"/>
          <w:b/>
          <w:sz w:val="22"/>
          <w:szCs w:val="22"/>
        </w:rPr>
        <w:t>10. Información sobre la Deuda y el Reporte analítico de la deuda.</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a) Utilizar al menos los siguientes indicadores: deuda respecto al PIB y Deuda respecto a la recaudación tomando, como mínimo, un periodo igual o menor de 5 años.</w:t>
      </w:r>
    </w:p>
    <w:p w:rsidR="00995380" w:rsidRPr="004F06F2" w:rsidRDefault="00995380" w:rsidP="00995380">
      <w:pPr>
        <w:spacing w:before="0" w:after="0"/>
        <w:rPr>
          <w:rFonts w:eastAsia="Calibri" w:cs="Times New Roman"/>
          <w:bCs/>
          <w:sz w:val="22"/>
          <w:szCs w:val="22"/>
        </w:rPr>
      </w:pPr>
    </w:p>
    <w:p w:rsidR="00995380" w:rsidRDefault="00995380" w:rsidP="00995380">
      <w:pPr>
        <w:spacing w:before="0" w:after="0"/>
        <w:rPr>
          <w:rFonts w:eastAsia="Calibri" w:cs="Times New Roman"/>
          <w:bCs/>
          <w:sz w:val="22"/>
          <w:szCs w:val="22"/>
        </w:rPr>
      </w:pPr>
      <w:r w:rsidRPr="00363577">
        <w:rPr>
          <w:rFonts w:eastAsia="Calibri" w:cs="Times New Roman"/>
          <w:bCs/>
          <w:sz w:val="22"/>
          <w:szCs w:val="22"/>
        </w:rPr>
        <w:t xml:space="preserve">La deuda pública del Estado de Michoacán, al 31 de marzo de 2025 representa un 3.45% del total de PIB estimado para esta entidad federativa, </w:t>
      </w:r>
      <w:r w:rsidRPr="00363577">
        <w:rPr>
          <w:sz w:val="22"/>
          <w:szCs w:val="22"/>
        </w:rPr>
        <w:t>en general, se observa una tendencia a la baja, pasando de 4.69% en 2016 a 3.05% en 2023, lo que indica una mejora en la sostenibilidad fiscal del estado durante ese periodo. Esta reducción sugiere un crecimiento económico mayor al endeudamiento o una política de control de deuda</w:t>
      </w:r>
      <w:r w:rsidRPr="00363577">
        <w:rPr>
          <w:rFonts w:eastAsia="Calibri" w:cs="Times New Roman"/>
          <w:bCs/>
          <w:sz w:val="22"/>
          <w:szCs w:val="22"/>
        </w:rPr>
        <w:t>, manteniendo los parámetros aceptables por la Ley de Disciplina Financiera de las Entidades y los Municipios, como se muestra en las gráficas siguientes</w:t>
      </w:r>
      <w:r w:rsidRPr="004F06F2">
        <w:rPr>
          <w:rFonts w:eastAsia="Calibri" w:cs="Times New Roman"/>
          <w:bCs/>
          <w:sz w:val="22"/>
          <w:szCs w:val="22"/>
        </w:rPr>
        <w:t>:</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363577">
        <w:rPr>
          <w:noProof/>
          <w:lang w:val="es-MX" w:eastAsia="es-MX"/>
        </w:rPr>
        <w:drawing>
          <wp:inline distT="0" distB="0" distL="0" distR="0" wp14:anchorId="0B72D146" wp14:editId="4ED323AD">
            <wp:extent cx="6351270" cy="1117267"/>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270" cy="1117267"/>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sz w:val="22"/>
          <w:szCs w:val="22"/>
        </w:rPr>
      </w:pPr>
      <w:bookmarkStart w:id="3" w:name="_Hlk133586266"/>
    </w:p>
    <w:p w:rsidR="00995380" w:rsidRPr="004F06F2" w:rsidRDefault="00995380" w:rsidP="00995380">
      <w:pPr>
        <w:spacing w:before="0" w:after="0"/>
        <w:rPr>
          <w:rFonts w:eastAsia="Calibri" w:cs="Times New Roman"/>
          <w:b/>
          <w:sz w:val="22"/>
          <w:szCs w:val="22"/>
        </w:rPr>
      </w:pPr>
      <w:r>
        <w:rPr>
          <w:rFonts w:eastAsia="Calibri" w:cs="Times New Roman"/>
          <w:b/>
          <w:noProof/>
          <w:sz w:val="22"/>
          <w:szCs w:val="22"/>
          <w:lang w:val="es-MX" w:eastAsia="es-MX"/>
        </w:rPr>
        <w:lastRenderedPageBreak/>
        <w:drawing>
          <wp:inline distT="0" distB="0" distL="0" distR="0" wp14:anchorId="150C74FF" wp14:editId="19F1299D">
            <wp:extent cx="6427515" cy="2905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2123" cy="2911728"/>
                    </a:xfrm>
                    <a:prstGeom prst="rect">
                      <a:avLst/>
                    </a:prstGeom>
                    <a:noFill/>
                  </pic:spPr>
                </pic:pic>
              </a:graphicData>
            </a:graphic>
          </wp:inline>
        </w:drawing>
      </w:r>
    </w:p>
    <w:p w:rsidR="00995380" w:rsidRPr="004F06F2" w:rsidRDefault="00995380" w:rsidP="00995380">
      <w:pPr>
        <w:tabs>
          <w:tab w:val="left" w:pos="2835"/>
        </w:tabs>
        <w:spacing w:before="0" w:after="0"/>
        <w:rPr>
          <w:rFonts w:eastAsia="Calibri" w:cs="Times New Roman"/>
          <w:b/>
          <w:sz w:val="22"/>
          <w:szCs w:val="22"/>
        </w:rPr>
      </w:pPr>
      <w:r w:rsidRPr="004F06F2">
        <w:rPr>
          <w:rFonts w:eastAsia="Calibri" w:cs="Times New Roman"/>
          <w:b/>
          <w:sz w:val="22"/>
          <w:szCs w:val="22"/>
        </w:rPr>
        <w:t xml:space="preserve"> </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En el mismo sentido, el saldo de la Deuda </w:t>
      </w:r>
      <w:r>
        <w:rPr>
          <w:rFonts w:eastAsia="Calibri" w:cs="Times New Roman"/>
          <w:bCs/>
          <w:sz w:val="22"/>
          <w:szCs w:val="22"/>
        </w:rPr>
        <w:t>P</w:t>
      </w:r>
      <w:r w:rsidRPr="004F06F2">
        <w:rPr>
          <w:rFonts w:eastAsia="Calibri" w:cs="Times New Roman"/>
          <w:bCs/>
          <w:sz w:val="22"/>
          <w:szCs w:val="22"/>
        </w:rPr>
        <w:t>ública, ya mencionado, respecto a la recaudación de ingresos de libre disposición, representa un 4</w:t>
      </w:r>
      <w:r>
        <w:rPr>
          <w:rFonts w:eastAsia="Calibri" w:cs="Times New Roman"/>
          <w:bCs/>
          <w:sz w:val="22"/>
          <w:szCs w:val="22"/>
        </w:rPr>
        <w:t>6.31</w:t>
      </w:r>
      <w:r w:rsidRPr="004F06F2">
        <w:rPr>
          <w:rFonts w:eastAsia="Calibri" w:cs="Times New Roman"/>
          <w:bCs/>
          <w:sz w:val="22"/>
          <w:szCs w:val="22"/>
        </w:rPr>
        <w:t>%, el cual se encuentra dentro de los parámetros establecidos por la Ley de Disciplina Financiera.</w:t>
      </w:r>
    </w:p>
    <w:p w:rsidR="00995380" w:rsidRPr="004F06F2" w:rsidRDefault="00995380" w:rsidP="00995380">
      <w:pPr>
        <w:spacing w:before="0" w:after="0"/>
        <w:rPr>
          <w:rFonts w:eastAsia="Calibri" w:cs="Times New Roman"/>
          <w:bCs/>
          <w:sz w:val="22"/>
          <w:szCs w:val="22"/>
        </w:rPr>
      </w:pPr>
    </w:p>
    <w:p w:rsidR="00995380" w:rsidRDefault="00995380" w:rsidP="00995380">
      <w:pPr>
        <w:spacing w:before="0" w:after="0"/>
        <w:rPr>
          <w:rFonts w:eastAsia="Calibri" w:cs="Times New Roman"/>
          <w:bCs/>
          <w:sz w:val="22"/>
          <w:szCs w:val="22"/>
        </w:rPr>
      </w:pPr>
      <w:r w:rsidRPr="008A4F67">
        <w:rPr>
          <w:rFonts w:eastAsia="Calibri" w:cs="Times New Roman"/>
          <w:bCs/>
          <w:sz w:val="22"/>
          <w:szCs w:val="22"/>
        </w:rPr>
        <w:t>Este indicador permite evaluar la capacidad real del estado para cubrir su deuda con recursos propios, es decir, sin considerar ingresos etiquetados o condicionados. Una razón más alta indica una mayor presión sobre los recursos disponibles para cubrir las obligaciones financieras.</w:t>
      </w:r>
    </w:p>
    <w:p w:rsidR="00995380"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Pr>
          <w:rFonts w:eastAsia="Calibri" w:cs="Times New Roman"/>
          <w:bCs/>
          <w:sz w:val="22"/>
          <w:szCs w:val="22"/>
        </w:rPr>
        <w:t>L</w:t>
      </w:r>
      <w:r w:rsidRPr="008A4F67">
        <w:rPr>
          <w:rFonts w:eastAsia="Calibri" w:cs="Times New Roman"/>
          <w:bCs/>
          <w:sz w:val="22"/>
          <w:szCs w:val="22"/>
        </w:rPr>
        <w:t>a tendencia general de la razón deuda/ingresos de libre disposición es positiva, con una disminución importante de la carga financiera relativa, aunque interrumpida brevemente en 2020 y 2021. Esto refleja una mejoría en la capacidad del estado para hacer frente a su deuda con recursos propios, lo cual for</w:t>
      </w:r>
      <w:r>
        <w:rPr>
          <w:rFonts w:eastAsia="Calibri" w:cs="Times New Roman"/>
          <w:bCs/>
          <w:sz w:val="22"/>
          <w:szCs w:val="22"/>
        </w:rPr>
        <w:t xml:space="preserve">talece su sostenibilidad fiscal, </w:t>
      </w:r>
      <w:r w:rsidRPr="004F06F2">
        <w:rPr>
          <w:rFonts w:eastAsia="Calibri" w:cs="Times New Roman"/>
          <w:bCs/>
          <w:sz w:val="22"/>
          <w:szCs w:val="22"/>
        </w:rPr>
        <w:t>como se muestra en las gráficas siguientes:</w:t>
      </w:r>
    </w:p>
    <w:p w:rsidR="00995380" w:rsidRPr="004F06F2" w:rsidRDefault="00995380" w:rsidP="00995380">
      <w:pPr>
        <w:spacing w:before="0" w:after="0"/>
        <w:rPr>
          <w:rFonts w:eastAsia="Calibri" w:cs="Times New Roman"/>
          <w:b/>
          <w:sz w:val="22"/>
          <w:szCs w:val="22"/>
        </w:rPr>
      </w:pPr>
      <w:r w:rsidRPr="004142A6">
        <w:rPr>
          <w:noProof/>
          <w:lang w:val="es-MX" w:eastAsia="es-MX"/>
        </w:rPr>
        <w:lastRenderedPageBreak/>
        <w:drawing>
          <wp:inline distT="0" distB="0" distL="0" distR="0" wp14:anchorId="53D630BE" wp14:editId="5B18D884">
            <wp:extent cx="6351270" cy="1060945"/>
            <wp:effectExtent l="0" t="0" r="0" b="6350"/>
            <wp:docPr id="1981202192" name="Imagen 198120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270" cy="1060945"/>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sz w:val="22"/>
          <w:szCs w:val="22"/>
        </w:rPr>
      </w:pPr>
      <w:r>
        <w:rPr>
          <w:rFonts w:eastAsia="Calibri" w:cs="Times New Roman"/>
          <w:b/>
          <w:noProof/>
          <w:sz w:val="22"/>
          <w:szCs w:val="22"/>
          <w:lang w:val="es-MX" w:eastAsia="es-MX"/>
        </w:rPr>
        <w:drawing>
          <wp:inline distT="0" distB="0" distL="0" distR="0" wp14:anchorId="63372494" wp14:editId="55833FCB">
            <wp:extent cx="6391275" cy="3320691"/>
            <wp:effectExtent l="0" t="0" r="0" b="0"/>
            <wp:docPr id="1981202193" name="Imagen 198120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2914" cy="3337129"/>
                    </a:xfrm>
                    <a:prstGeom prst="rect">
                      <a:avLst/>
                    </a:prstGeom>
                    <a:noFill/>
                  </pic:spPr>
                </pic:pic>
              </a:graphicData>
            </a:graphic>
          </wp:inline>
        </w:drawing>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jc w:val="center"/>
        <w:rPr>
          <w:rFonts w:eastAsia="Calibri" w:cs="Times New Roman"/>
          <w:b/>
          <w:sz w:val="22"/>
          <w:szCs w:val="22"/>
        </w:rPr>
      </w:pPr>
    </w:p>
    <w:p w:rsidR="00995380" w:rsidRDefault="00995380" w:rsidP="00995380">
      <w:pPr>
        <w:spacing w:before="0" w:after="0"/>
        <w:jc w:val="center"/>
        <w:rPr>
          <w:rFonts w:eastAsia="Calibri" w:cs="Times New Roman"/>
          <w:b/>
          <w:sz w:val="22"/>
          <w:szCs w:val="22"/>
        </w:rPr>
      </w:pPr>
    </w:p>
    <w:p w:rsidR="00995380" w:rsidRDefault="00995380" w:rsidP="00995380">
      <w:pPr>
        <w:spacing w:before="0" w:after="0"/>
        <w:jc w:val="center"/>
        <w:rPr>
          <w:rFonts w:eastAsia="Calibri" w:cs="Times New Roman"/>
          <w:b/>
          <w:sz w:val="22"/>
          <w:szCs w:val="22"/>
        </w:rPr>
      </w:pPr>
    </w:p>
    <w:p w:rsidR="00995380" w:rsidRDefault="00995380" w:rsidP="00995380">
      <w:pPr>
        <w:spacing w:before="0" w:after="0"/>
        <w:jc w:val="center"/>
        <w:rPr>
          <w:rFonts w:eastAsia="Calibri" w:cs="Times New Roman"/>
          <w:b/>
          <w:sz w:val="22"/>
          <w:szCs w:val="22"/>
        </w:rPr>
      </w:pPr>
    </w:p>
    <w:p w:rsidR="00995380" w:rsidRPr="004F06F2" w:rsidRDefault="00995380" w:rsidP="00995380">
      <w:pPr>
        <w:spacing w:before="0" w:after="0"/>
        <w:jc w:val="center"/>
        <w:rPr>
          <w:rFonts w:eastAsia="Calibri" w:cs="Times New Roman"/>
          <w:b/>
          <w:sz w:val="22"/>
          <w:szCs w:val="22"/>
        </w:rPr>
      </w:pPr>
    </w:p>
    <w:bookmarkEnd w:id="3"/>
    <w:p w:rsidR="00995380" w:rsidRPr="004F06F2" w:rsidRDefault="00995380" w:rsidP="00995380">
      <w:pPr>
        <w:spacing w:before="0" w:after="0"/>
        <w:rPr>
          <w:rFonts w:eastAsia="Calibri" w:cs="Times New Roman"/>
          <w:b/>
          <w:sz w:val="22"/>
          <w:szCs w:val="22"/>
        </w:rPr>
      </w:pPr>
      <w:r w:rsidRPr="008A4F67">
        <w:rPr>
          <w:rFonts w:eastAsia="Calibri" w:cs="Times New Roman"/>
          <w:b/>
          <w:sz w:val="22"/>
          <w:szCs w:val="22"/>
        </w:rPr>
        <w:t>11. Calificaciones otorgadas</w:t>
      </w: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FITCH RATINGS.</w:t>
      </w: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La calificadora </w:t>
      </w:r>
      <w:proofErr w:type="spellStart"/>
      <w:r w:rsidRPr="004F06F2">
        <w:rPr>
          <w:rFonts w:eastAsia="Calibri" w:cs="Times New Roman"/>
          <w:bCs/>
          <w:sz w:val="22"/>
          <w:szCs w:val="22"/>
        </w:rPr>
        <w:t>Fitch</w:t>
      </w:r>
      <w:proofErr w:type="spellEnd"/>
      <w:r w:rsidRPr="004F06F2">
        <w:rPr>
          <w:rFonts w:eastAsia="Calibri" w:cs="Times New Roman"/>
          <w:bCs/>
          <w:sz w:val="22"/>
          <w:szCs w:val="22"/>
        </w:rPr>
        <w:t xml:space="preserve"> Ratings, para siete créditos contratados a un plazo de 20 años, con periodicidad de pago mensual, otorgó una calificación de AA-(</w:t>
      </w:r>
      <w:proofErr w:type="spellStart"/>
      <w:r w:rsidRPr="004F06F2">
        <w:rPr>
          <w:rFonts w:eastAsia="Calibri" w:cs="Times New Roman"/>
          <w:bCs/>
          <w:sz w:val="22"/>
          <w:szCs w:val="22"/>
        </w:rPr>
        <w:t>mex</w:t>
      </w:r>
      <w:proofErr w:type="spellEnd"/>
      <w:proofErr w:type="gramStart"/>
      <w:r w:rsidRPr="004F06F2">
        <w:rPr>
          <w:rFonts w:eastAsia="Calibri" w:cs="Times New Roman"/>
          <w:bCs/>
          <w:sz w:val="22"/>
          <w:szCs w:val="22"/>
        </w:rPr>
        <w:t>)</w:t>
      </w:r>
      <w:proofErr w:type="spellStart"/>
      <w:r w:rsidRPr="004F06F2">
        <w:rPr>
          <w:rFonts w:eastAsia="Calibri" w:cs="Times New Roman"/>
          <w:bCs/>
          <w:sz w:val="22"/>
          <w:szCs w:val="22"/>
        </w:rPr>
        <w:t>vra</w:t>
      </w:r>
      <w:proofErr w:type="spellEnd"/>
      <w:proofErr w:type="gramEnd"/>
      <w:r w:rsidRPr="004F06F2">
        <w:rPr>
          <w:rFonts w:eastAsia="Calibri" w:cs="Times New Roman"/>
          <w:bCs/>
          <w:sz w:val="22"/>
          <w:szCs w:val="22"/>
        </w:rPr>
        <w:t xml:space="preserve">, el </w:t>
      </w:r>
      <w:r>
        <w:rPr>
          <w:rFonts w:eastAsia="Calibri" w:cs="Times New Roman"/>
          <w:bCs/>
          <w:sz w:val="22"/>
          <w:szCs w:val="22"/>
        </w:rPr>
        <w:t>15 de enero del 2025</w:t>
      </w:r>
      <w:r w:rsidRPr="004F06F2">
        <w:rPr>
          <w:rFonts w:eastAsia="Calibri" w:cs="Times New Roman"/>
          <w:bCs/>
          <w:sz w:val="22"/>
          <w:szCs w:val="22"/>
        </w:rPr>
        <w:t xml:space="preserve">, considerando que el desempeño de los activos es “Más fuerte”, el activo </w:t>
      </w:r>
      <w:proofErr w:type="spellStart"/>
      <w:r w:rsidRPr="004F06F2">
        <w:rPr>
          <w:rFonts w:eastAsia="Calibri" w:cs="Times New Roman"/>
          <w:bCs/>
          <w:sz w:val="22"/>
          <w:szCs w:val="22"/>
        </w:rPr>
        <w:t>fideicomitido</w:t>
      </w:r>
      <w:proofErr w:type="spellEnd"/>
      <w:r w:rsidRPr="004F06F2">
        <w:rPr>
          <w:rFonts w:eastAsia="Calibri" w:cs="Times New Roman"/>
          <w:bCs/>
          <w:sz w:val="22"/>
          <w:szCs w:val="22"/>
        </w:rPr>
        <w:t xml:space="preserve"> es </w:t>
      </w:r>
      <w:r>
        <w:rPr>
          <w:rFonts w:eastAsia="Calibri" w:cs="Times New Roman"/>
          <w:bCs/>
          <w:sz w:val="22"/>
          <w:szCs w:val="22"/>
        </w:rPr>
        <w:t>estable y predecible además de</w:t>
      </w:r>
      <w:r w:rsidRPr="004F06F2">
        <w:rPr>
          <w:rFonts w:eastAsia="Calibri" w:cs="Times New Roman"/>
          <w:bCs/>
          <w:sz w:val="22"/>
          <w:szCs w:val="22"/>
        </w:rPr>
        <w:t xml:space="preserve"> presenta</w:t>
      </w:r>
      <w:r>
        <w:rPr>
          <w:rFonts w:eastAsia="Calibri" w:cs="Times New Roman"/>
          <w:bCs/>
          <w:sz w:val="22"/>
          <w:szCs w:val="22"/>
        </w:rPr>
        <w:t>r</w:t>
      </w:r>
      <w:r w:rsidRPr="004F06F2">
        <w:rPr>
          <w:rFonts w:eastAsia="Calibri" w:cs="Times New Roman"/>
          <w:bCs/>
          <w:sz w:val="22"/>
          <w:szCs w:val="22"/>
        </w:rPr>
        <w:t xml:space="preserve"> un comportamiento adecuado. El Riesgo de la tasa de inte</w:t>
      </w:r>
      <w:r>
        <w:rPr>
          <w:rFonts w:eastAsia="Calibri" w:cs="Times New Roman"/>
          <w:bCs/>
          <w:sz w:val="22"/>
          <w:szCs w:val="22"/>
        </w:rPr>
        <w:t xml:space="preserve">rés se considera </w:t>
      </w:r>
      <w:r>
        <w:rPr>
          <w:rFonts w:eastAsia="Calibri" w:cs="Times New Roman"/>
          <w:bCs/>
          <w:sz w:val="22"/>
          <w:szCs w:val="22"/>
        </w:rPr>
        <w:lastRenderedPageBreak/>
        <w:t>en “Rango Más Fuerte</w:t>
      </w:r>
      <w:r w:rsidRPr="004F06F2">
        <w:rPr>
          <w:rFonts w:eastAsia="Calibri" w:cs="Times New Roman"/>
          <w:bCs/>
          <w:sz w:val="22"/>
          <w:szCs w:val="22"/>
        </w:rPr>
        <w:t>”, mientras que el Fondo d</w:t>
      </w:r>
      <w:r>
        <w:rPr>
          <w:rFonts w:eastAsia="Calibri" w:cs="Times New Roman"/>
          <w:bCs/>
          <w:sz w:val="22"/>
          <w:szCs w:val="22"/>
        </w:rPr>
        <w:t>e Reserva se considera “Rango Medio</w:t>
      </w:r>
      <w:r w:rsidRPr="004F06F2">
        <w:rPr>
          <w:rFonts w:eastAsia="Calibri" w:cs="Times New Roman"/>
          <w:bCs/>
          <w:sz w:val="22"/>
          <w:szCs w:val="22"/>
        </w:rPr>
        <w:t xml:space="preserve">”, al igual de la cobertura de deuda. </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HR RATINGS</w:t>
      </w: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La calificación de HR Ratings, </w:t>
      </w:r>
      <w:proofErr w:type="spellStart"/>
      <w:r w:rsidRPr="004F06F2">
        <w:rPr>
          <w:rFonts w:eastAsia="Calibri" w:cs="Times New Roman"/>
          <w:bCs/>
          <w:sz w:val="22"/>
          <w:szCs w:val="22"/>
        </w:rPr>
        <w:t>Credit</w:t>
      </w:r>
      <w:proofErr w:type="spellEnd"/>
      <w:r w:rsidRPr="004F06F2">
        <w:rPr>
          <w:rFonts w:eastAsia="Calibri" w:cs="Times New Roman"/>
          <w:bCs/>
          <w:sz w:val="22"/>
          <w:szCs w:val="22"/>
        </w:rPr>
        <w:t xml:space="preserve"> Rating Agency en sus siete calificaciones se mantiene en AAA (E) con perspectiva estable debido a que el crecimiento Nominal de 18.4%, que fue superior a la media nacional (16.9%) y se estima un escenario base de la fuente de pago en crecimiento hasta 2043 del 3.30%.</w:t>
      </w:r>
    </w:p>
    <w:p w:rsidR="00995380" w:rsidRDefault="00995380" w:rsidP="00995380">
      <w:pPr>
        <w:spacing w:before="0" w:after="0"/>
        <w:rPr>
          <w:rFonts w:eastAsia="Calibri" w:cs="Times New Roman"/>
          <w:bCs/>
          <w:sz w:val="22"/>
          <w:szCs w:val="22"/>
        </w:rPr>
      </w:pPr>
    </w:p>
    <w:p w:rsidR="00995380" w:rsidRPr="005D257C" w:rsidRDefault="00995380" w:rsidP="00995380">
      <w:pPr>
        <w:spacing w:before="0" w:after="0"/>
        <w:rPr>
          <w:rFonts w:eastAsia="Calibri" w:cs="Times New Roman"/>
          <w:b/>
          <w:sz w:val="22"/>
          <w:szCs w:val="22"/>
        </w:rPr>
      </w:pPr>
      <w:r w:rsidRPr="005D257C">
        <w:rPr>
          <w:rFonts w:eastAsia="Calibri" w:cs="Times New Roman"/>
          <w:b/>
          <w:sz w:val="22"/>
          <w:szCs w:val="22"/>
        </w:rPr>
        <w:t>12. Procesos de Mejora</w:t>
      </w: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a) Principales políticas de control interno</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w:t>
      </w:r>
      <w:r w:rsidRPr="004F06F2">
        <w:rPr>
          <w:rFonts w:eastAsia="Calibri" w:cs="Times New Roman"/>
          <w:bCs/>
          <w:sz w:val="22"/>
          <w:szCs w:val="22"/>
        </w:rPr>
        <w:lastRenderedPageBreak/>
        <w:t>oportunidad en la Institución, considerando las etapas de la metodología de administración de riegos.</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jc w:val="center"/>
        <w:rPr>
          <w:rFonts w:eastAsia="Calibri" w:cs="Times New Roman"/>
          <w:bCs/>
          <w:sz w:val="22"/>
          <w:szCs w:val="22"/>
        </w:rPr>
      </w:pPr>
      <w:r w:rsidRPr="004F06F2">
        <w:rPr>
          <w:rFonts w:eastAsia="Calibri" w:cs="Times New Roman"/>
          <w:bCs/>
          <w:noProof/>
          <w:sz w:val="22"/>
          <w:szCs w:val="22"/>
          <w:lang w:val="es-MX" w:eastAsia="es-MX"/>
        </w:rPr>
        <w:drawing>
          <wp:inline distT="0" distB="0" distL="0" distR="0" wp14:anchorId="27333C85" wp14:editId="73A571C3">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Una vez clasificados los riesgos, se define la estrategia de atención como sigue:</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3. Transferir el riesgo. Consiste en trasladar el riesgo a un externo a través de la contratación de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el cual deberá́</w:t>
      </w:r>
      <w:r>
        <w:rPr>
          <w:rFonts w:eastAsia="Calibri" w:cs="Times New Roman"/>
          <w:bCs/>
          <w:sz w:val="22"/>
          <w:szCs w:val="22"/>
        </w:rPr>
        <w:t xml:space="preserve"> </w:t>
      </w:r>
      <w:r w:rsidRPr="004F06F2">
        <w:rPr>
          <w:rFonts w:eastAsia="Calibri" w:cs="Times New Roman"/>
          <w:bCs/>
          <w:sz w:val="22"/>
          <w:szCs w:val="22"/>
        </w:rPr>
        <w:t xml:space="preserve">tener la experiencia y especialización necesaria para asumir el </w:t>
      </w:r>
      <w:r w:rsidRPr="004F06F2">
        <w:rPr>
          <w:rFonts w:eastAsia="Calibri" w:cs="Times New Roman"/>
          <w:bCs/>
          <w:sz w:val="22"/>
          <w:szCs w:val="22"/>
        </w:rPr>
        <w:lastRenderedPageBreak/>
        <w:t xml:space="preserve">riesgo, así́ como sus impactos o pérdidas derivadas de su materialización </w:t>
      </w:r>
    </w:p>
    <w:p w:rsidR="00995380" w:rsidRPr="004F06F2" w:rsidRDefault="00995380" w:rsidP="00995380">
      <w:pPr>
        <w:spacing w:before="0" w:after="0"/>
        <w:rPr>
          <w:rFonts w:eastAsia="Calibri" w:cs="Times New Roman"/>
          <w:bCs/>
          <w:sz w:val="22"/>
          <w:szCs w:val="22"/>
        </w:rPr>
      </w:pPr>
    </w:p>
    <w:p w:rsidR="00995380" w:rsidRDefault="00995380" w:rsidP="00995380">
      <w:pPr>
        <w:spacing w:before="0" w:after="0"/>
        <w:rPr>
          <w:rFonts w:eastAsia="Calibri" w:cs="Times New Roman"/>
          <w:bCs/>
          <w:sz w:val="22"/>
          <w:szCs w:val="22"/>
        </w:rPr>
      </w:pPr>
      <w:r w:rsidRPr="004F06F2">
        <w:rPr>
          <w:rFonts w:eastAsia="Calibri" w:cs="Times New Roman"/>
          <w:bCs/>
          <w:sz w:val="22"/>
          <w:szCs w:val="22"/>
        </w:rPr>
        <w:t xml:space="preserve">4. Compartir el riesgo.- Se refiere a distribuir parcialmente el riesgo y las </w:t>
      </w:r>
    </w:p>
    <w:p w:rsidR="00995380" w:rsidRPr="004F06F2" w:rsidRDefault="00995380" w:rsidP="00995380">
      <w:pPr>
        <w:spacing w:before="0" w:after="0"/>
        <w:rPr>
          <w:rFonts w:eastAsia="Calibri" w:cs="Times New Roman"/>
          <w:bCs/>
          <w:sz w:val="22"/>
          <w:szCs w:val="22"/>
        </w:rPr>
      </w:pPr>
      <w:proofErr w:type="gramStart"/>
      <w:r w:rsidRPr="004F06F2">
        <w:rPr>
          <w:rFonts w:eastAsia="Calibri" w:cs="Times New Roman"/>
          <w:bCs/>
          <w:sz w:val="22"/>
          <w:szCs w:val="22"/>
        </w:rPr>
        <w:t>posibles</w:t>
      </w:r>
      <w:proofErr w:type="gramEnd"/>
      <w:r w:rsidRPr="004F06F2">
        <w:rPr>
          <w:rFonts w:eastAsia="Calibri" w:cs="Times New Roman"/>
          <w:bCs/>
          <w:sz w:val="22"/>
          <w:szCs w:val="22"/>
        </w:rPr>
        <w:t xml:space="preserve"> consecuencias, a efecto de segmentarlo y canalizarlo a diferentes unidades administrativas de la institución, las cuales se responsabilizaran de la parte del riesgo que les corresponda en su ámbito de competencia. </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 xml:space="preserve">6.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xml:space="preserve">. La Administración conserva la responsabilidad sobre el desempeño de las actividades realizadas por los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xml:space="preserve"> que contrate para realizar algunos procesos operativos para la institución, tales como servicios de tecnologías de información y comunicaciones, servicios de mantenimiento, servicios de seguridad o servicios de limpieza</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De esta manera se pretende avanzar en la mejora de la administración pública en cumplimiento de la normativa aplicable.</w:t>
      </w:r>
    </w:p>
    <w:p w:rsidR="00995380" w:rsidRPr="004F06F2" w:rsidRDefault="00995380" w:rsidP="00995380">
      <w:pPr>
        <w:spacing w:before="0" w:after="0"/>
        <w:rPr>
          <w:rFonts w:eastAsia="Calibri" w:cs="Times New Roman"/>
          <w:bCs/>
          <w:sz w:val="22"/>
          <w:szCs w:val="22"/>
        </w:rPr>
      </w:pPr>
    </w:p>
    <w:p w:rsidR="00995380" w:rsidRPr="004F06F2" w:rsidRDefault="00995380" w:rsidP="00995380">
      <w:pPr>
        <w:spacing w:before="0" w:after="0"/>
        <w:rPr>
          <w:rFonts w:eastAsia="Calibri" w:cs="Times New Roman"/>
          <w:b/>
          <w:sz w:val="22"/>
          <w:szCs w:val="22"/>
        </w:rPr>
      </w:pPr>
      <w:r w:rsidRPr="008A4F67">
        <w:rPr>
          <w:rFonts w:eastAsia="Calibri" w:cs="Times New Roman"/>
          <w:b/>
          <w:sz w:val="22"/>
          <w:szCs w:val="22"/>
        </w:rPr>
        <w:t>b) Medidas de Desempeño Financiero, Metas y Alcance</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w:t>
      </w:r>
      <w:r w:rsidRPr="004F06F2">
        <w:rPr>
          <w:rFonts w:eastAsia="Calibri" w:cs="Times New Roman"/>
          <w:sz w:val="22"/>
          <w:szCs w:val="22"/>
        </w:rPr>
        <w:lastRenderedPageBreak/>
        <w:t>economía, transparencia y honradez para satisfacer los objetivos a los que estén destinados.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Se implementa el Presupuesto basado en Resultados (</w:t>
      </w:r>
      <w:proofErr w:type="spellStart"/>
      <w:r w:rsidRPr="004F06F2">
        <w:rPr>
          <w:rFonts w:eastAsia="Calibri" w:cs="Times New Roman"/>
          <w:sz w:val="22"/>
          <w:szCs w:val="22"/>
        </w:rPr>
        <w:t>PbR</w:t>
      </w:r>
      <w:proofErr w:type="spellEnd"/>
      <w:r w:rsidRPr="004F06F2">
        <w:rPr>
          <w:rFonts w:eastAsia="Calibri" w:cs="Times New Roman"/>
          <w:sz w:val="22"/>
          <w:szCs w:val="22"/>
        </w:rPr>
        <w:t>) de una manera gradual y sostenible, con la finalidad de evaluar las políticas públicas, los programas presupuestarios y el desempeño de las dependencias.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El Presupuesto estatal se estructura de acuerdo a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 </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En este sentido, se incluye un Sistema de Indicadores Estratégicos que permitirá observar con toda claridad, el avance y cumplimiento de los objetivos planteados, mediante el monitoreo de las metas </w:t>
      </w:r>
      <w:r w:rsidRPr="004F06F2">
        <w:rPr>
          <w:rFonts w:eastAsia="Calibri" w:cs="Times New Roman"/>
          <w:sz w:val="22"/>
          <w:szCs w:val="22"/>
        </w:rPr>
        <w:lastRenderedPageBreak/>
        <w:t>establecidas y los resultados alcanzados en cada uno de los citados indicadores.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El seguimiento a las metas y objetivos se encuentra detallado en la Matriz de Indicadores para Resultados así como el seguimiento del Análisis Programático Presupuestario que se encuentra publicado en la página de la Secretaría de Finanzas y Administración.</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13. Información por segmentos</w:t>
      </w:r>
    </w:p>
    <w:p w:rsidR="00995380" w:rsidRPr="004F06F2" w:rsidRDefault="00995380" w:rsidP="00995380">
      <w:pPr>
        <w:spacing w:before="0" w:after="0"/>
        <w:rPr>
          <w:rFonts w:eastAsia="Calibri" w:cs="Times New Roman"/>
          <w:b/>
          <w:sz w:val="22"/>
          <w:szCs w:val="22"/>
        </w:rPr>
      </w:pPr>
      <w:r w:rsidRPr="004F06F2">
        <w:rPr>
          <w:rFonts w:eastAsia="Calibri" w:cs="Times New Roman"/>
          <w:bCs/>
          <w:sz w:val="22"/>
          <w:szCs w:val="22"/>
        </w:rPr>
        <w:t>Para el periodo que se reporta, no existe información referente a segmentos por revelar.</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14. Eventos Posteriores al Cierre</w:t>
      </w:r>
    </w:p>
    <w:p w:rsidR="00995380" w:rsidRPr="004F06F2" w:rsidRDefault="00995380" w:rsidP="00995380">
      <w:pPr>
        <w:spacing w:before="0" w:after="0"/>
        <w:rPr>
          <w:rFonts w:eastAsia="Calibri" w:cs="Times New Roman"/>
          <w:bCs/>
          <w:sz w:val="22"/>
          <w:szCs w:val="22"/>
        </w:rPr>
      </w:pPr>
      <w:r w:rsidRPr="004F06F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15.</w:t>
      </w:r>
      <w:r w:rsidRPr="004F06F2">
        <w:rPr>
          <w:rFonts w:eastAsia="Calibri" w:cs="Times New Roman"/>
          <w:b/>
          <w:sz w:val="22"/>
          <w:szCs w:val="22"/>
        </w:rPr>
        <w:tab/>
        <w:t>Partes Relacionadas</w:t>
      </w: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No existen partes relacionadas que pudieran ejercer influencia significativa en la toma de decisiones financieras y operativas.</w:t>
      </w:r>
    </w:p>
    <w:p w:rsidR="00995380" w:rsidRPr="004F06F2" w:rsidRDefault="00995380" w:rsidP="00995380">
      <w:pPr>
        <w:spacing w:before="0" w:after="0"/>
        <w:rPr>
          <w:rFonts w:eastAsia="Calibri" w:cs="Times New Roman"/>
          <w:color w:val="000000"/>
          <w:sz w:val="22"/>
          <w:szCs w:val="22"/>
        </w:rPr>
      </w:pP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Lo anterior, se refiere a que no existen entes o personas que tengan la capacidad de controlar o ejercer dicha influencia en la Administración Pública del Gobierno del Estado de Michoacán.</w:t>
      </w:r>
    </w:p>
    <w:p w:rsidR="00995380" w:rsidRPr="004F06F2" w:rsidRDefault="00995380" w:rsidP="00995380">
      <w:pPr>
        <w:spacing w:before="0" w:after="0"/>
        <w:rPr>
          <w:rFonts w:eastAsia="Calibri" w:cs="Times New Roman"/>
          <w:b/>
          <w:bCs/>
          <w:color w:val="000000"/>
          <w:sz w:val="22"/>
          <w:szCs w:val="22"/>
        </w:rPr>
      </w:pPr>
    </w:p>
    <w:p w:rsidR="00995380" w:rsidRPr="004F06F2" w:rsidRDefault="00995380" w:rsidP="00995380">
      <w:pPr>
        <w:spacing w:before="0" w:after="0"/>
        <w:rPr>
          <w:rFonts w:eastAsia="Calibri" w:cs="Times New Roman"/>
          <w:b/>
          <w:bCs/>
          <w:color w:val="000000"/>
          <w:sz w:val="22"/>
          <w:szCs w:val="22"/>
        </w:rPr>
      </w:pPr>
      <w:r w:rsidRPr="004F06F2">
        <w:rPr>
          <w:rFonts w:eastAsia="Calibri" w:cs="Times New Roman"/>
          <w:b/>
          <w:bCs/>
          <w:color w:val="000000"/>
          <w:sz w:val="22"/>
          <w:szCs w:val="22"/>
        </w:rPr>
        <w:t>16. Responsabilidad sobre la presentación razonable de la información contable</w:t>
      </w: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rsidR="00995380" w:rsidRDefault="00995380" w:rsidP="00995380">
      <w:pPr>
        <w:spacing w:before="0" w:after="0"/>
        <w:jc w:val="center"/>
        <w:rPr>
          <w:rFonts w:eastAsia="Calibri" w:cs="Times New Roman"/>
          <w:b/>
          <w:sz w:val="28"/>
          <w:szCs w:val="28"/>
        </w:rPr>
      </w:pPr>
    </w:p>
    <w:p w:rsidR="00995380" w:rsidRDefault="00995380" w:rsidP="00995380">
      <w:pPr>
        <w:spacing w:before="0" w:after="0"/>
        <w:jc w:val="center"/>
        <w:rPr>
          <w:rFonts w:eastAsia="Calibri" w:cs="Times New Roman"/>
          <w:b/>
          <w:sz w:val="28"/>
          <w:szCs w:val="28"/>
        </w:rPr>
      </w:pPr>
    </w:p>
    <w:p w:rsidR="00995380" w:rsidRDefault="00995380" w:rsidP="00995380">
      <w:pPr>
        <w:spacing w:before="0" w:after="0"/>
        <w:jc w:val="center"/>
        <w:rPr>
          <w:rFonts w:eastAsia="Calibri" w:cs="Times New Roman"/>
          <w:b/>
          <w:sz w:val="28"/>
          <w:szCs w:val="28"/>
        </w:rPr>
      </w:pPr>
    </w:p>
    <w:p w:rsidR="00995380" w:rsidRPr="004F06F2" w:rsidRDefault="00995380" w:rsidP="00995380">
      <w:pPr>
        <w:spacing w:before="0" w:after="0"/>
        <w:jc w:val="center"/>
        <w:rPr>
          <w:rFonts w:eastAsia="Calibri" w:cs="Times New Roman"/>
          <w:b/>
          <w:sz w:val="28"/>
          <w:szCs w:val="28"/>
        </w:rPr>
      </w:pPr>
    </w:p>
    <w:p w:rsidR="00995380" w:rsidRPr="00F91796" w:rsidRDefault="00995380" w:rsidP="00995380">
      <w:pPr>
        <w:spacing w:before="0" w:after="0"/>
        <w:jc w:val="center"/>
        <w:rPr>
          <w:rFonts w:eastAsia="Calibri" w:cs="Times New Roman"/>
          <w:b/>
          <w:sz w:val="28"/>
          <w:szCs w:val="28"/>
        </w:rPr>
      </w:pPr>
      <w:r w:rsidRPr="004F06F2">
        <w:rPr>
          <w:rFonts w:eastAsia="Calibri" w:cs="Times New Roman"/>
          <w:b/>
          <w:sz w:val="28"/>
          <w:szCs w:val="28"/>
        </w:rPr>
        <w:t>b) NOTAS DE DESGLOSE</w:t>
      </w:r>
    </w:p>
    <w:p w:rsidR="00995380" w:rsidRPr="004F06F2" w:rsidRDefault="00995380" w:rsidP="00995380">
      <w:pPr>
        <w:widowControl w:val="0"/>
        <w:spacing w:before="0" w:after="0"/>
        <w:jc w:val="left"/>
        <w:rPr>
          <w:rFonts w:eastAsia="Calibri" w:cs="Times New Roman"/>
          <w:b/>
          <w:sz w:val="28"/>
          <w:szCs w:val="28"/>
        </w:rPr>
      </w:pPr>
      <w:r w:rsidRPr="004F06F2">
        <w:rPr>
          <w:rFonts w:eastAsia="Calibri" w:cs="Times New Roman"/>
          <w:b/>
        </w:rPr>
        <w:t>I). NOTAS AL ESTADO DE ACTIVIDADES</w:t>
      </w:r>
    </w:p>
    <w:p w:rsidR="00995380" w:rsidRPr="004F06F2" w:rsidRDefault="00995380" w:rsidP="00995380">
      <w:pPr>
        <w:spacing w:before="0" w:after="0"/>
        <w:rPr>
          <w:rFonts w:eastAsia="Calibri" w:cs="Times New Roman"/>
          <w:color w:val="000000"/>
          <w:sz w:val="22"/>
          <w:szCs w:val="22"/>
        </w:rPr>
      </w:pP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 xml:space="preserve">Este estado financiero, muestra dos grandes agregados representados por los </w:t>
      </w:r>
      <w:r w:rsidRPr="004F06F2">
        <w:rPr>
          <w:rFonts w:eastAsia="Calibri" w:cs="Times New Roman"/>
          <w:b/>
          <w:color w:val="000000"/>
          <w:sz w:val="22"/>
          <w:szCs w:val="22"/>
        </w:rPr>
        <w:t>ingresos y otros beneficios</w:t>
      </w:r>
      <w:r w:rsidRPr="004F06F2">
        <w:rPr>
          <w:rFonts w:eastAsia="Calibri" w:cs="Times New Roman"/>
          <w:color w:val="000000"/>
          <w:sz w:val="22"/>
          <w:szCs w:val="22"/>
        </w:rPr>
        <w:t xml:space="preserve">, así como los </w:t>
      </w:r>
      <w:r w:rsidRPr="004F06F2">
        <w:rPr>
          <w:rFonts w:eastAsia="Calibri" w:cs="Times New Roman"/>
          <w:b/>
          <w:color w:val="000000"/>
          <w:sz w:val="22"/>
          <w:szCs w:val="22"/>
        </w:rPr>
        <w:t>gastos y otras pérdidas</w:t>
      </w:r>
      <w:r w:rsidRPr="004F06F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Pr>
          <w:rFonts w:eastAsia="Calibri" w:cs="Times New Roman"/>
          <w:color w:val="000000"/>
          <w:sz w:val="22"/>
          <w:szCs w:val="22"/>
        </w:rPr>
        <w:t>5</w:t>
      </w:r>
      <w:r w:rsidRPr="004F06F2">
        <w:rPr>
          <w:rFonts w:eastAsia="Calibri" w:cs="Times New Roman"/>
          <w:color w:val="000000"/>
          <w:sz w:val="22"/>
          <w:szCs w:val="22"/>
        </w:rPr>
        <w:t xml:space="preserve"> y al Decreto que contiene de Presupuesto de Egresos del Gobierno del Estado de Michoacán de Ocampo del mismo ejercicio; así mismo, permite determinar el resultado del ejercicio, el cual refleja un ahorro de </w:t>
      </w:r>
      <w:r>
        <w:rPr>
          <w:rFonts w:eastAsia="Calibri" w:cs="Times New Roman"/>
          <w:color w:val="000000"/>
          <w:sz w:val="22"/>
          <w:szCs w:val="22"/>
        </w:rPr>
        <w:t>3</w:t>
      </w:r>
      <w:r w:rsidRPr="004F06F2">
        <w:rPr>
          <w:rFonts w:eastAsia="Calibri" w:cs="Times New Roman"/>
          <w:color w:val="000000"/>
          <w:sz w:val="22"/>
          <w:szCs w:val="22"/>
        </w:rPr>
        <w:t xml:space="preserve"> mil </w:t>
      </w:r>
      <w:r>
        <w:rPr>
          <w:rFonts w:eastAsia="Calibri" w:cs="Times New Roman"/>
          <w:color w:val="000000"/>
          <w:sz w:val="22"/>
          <w:szCs w:val="22"/>
        </w:rPr>
        <w:t>167</w:t>
      </w:r>
      <w:r w:rsidRPr="004F06F2">
        <w:rPr>
          <w:rFonts w:eastAsia="Calibri" w:cs="Times New Roman"/>
          <w:color w:val="000000"/>
          <w:sz w:val="22"/>
          <w:szCs w:val="22"/>
        </w:rPr>
        <w:t xml:space="preserve"> millones </w:t>
      </w:r>
      <w:r>
        <w:rPr>
          <w:rFonts w:eastAsia="Calibri" w:cs="Times New Roman"/>
          <w:color w:val="000000"/>
          <w:sz w:val="22"/>
          <w:szCs w:val="22"/>
        </w:rPr>
        <w:t>9</w:t>
      </w:r>
      <w:r w:rsidRPr="004F06F2">
        <w:rPr>
          <w:rFonts w:eastAsia="Calibri" w:cs="Times New Roman"/>
          <w:color w:val="000000"/>
          <w:sz w:val="22"/>
          <w:szCs w:val="22"/>
        </w:rPr>
        <w:t xml:space="preserve">3 mil </w:t>
      </w:r>
      <w:r>
        <w:rPr>
          <w:rFonts w:eastAsia="Calibri" w:cs="Times New Roman"/>
          <w:color w:val="000000"/>
          <w:sz w:val="22"/>
          <w:szCs w:val="22"/>
        </w:rPr>
        <w:t>785</w:t>
      </w:r>
      <w:r w:rsidRPr="004F06F2">
        <w:rPr>
          <w:rFonts w:eastAsia="Calibri" w:cs="Times New Roman"/>
          <w:color w:val="000000"/>
          <w:sz w:val="22"/>
          <w:szCs w:val="22"/>
        </w:rPr>
        <w:t xml:space="preserve"> pesos.  </w:t>
      </w:r>
    </w:p>
    <w:p w:rsidR="00995380" w:rsidRPr="004F06F2" w:rsidRDefault="00995380" w:rsidP="00995380">
      <w:pPr>
        <w:spacing w:before="0" w:after="0"/>
        <w:rPr>
          <w:rFonts w:eastAsia="Calibri" w:cs="Times New Roman"/>
          <w:color w:val="000000"/>
          <w:sz w:val="22"/>
          <w:szCs w:val="22"/>
        </w:rPr>
      </w:pPr>
    </w:p>
    <w:p w:rsidR="00995380" w:rsidRDefault="00995380" w:rsidP="00995380">
      <w:pPr>
        <w:spacing w:before="0" w:after="0"/>
        <w:rPr>
          <w:rFonts w:ascii="Arial" w:hAnsi="Arial" w:cs="Arial"/>
          <w:sz w:val="22"/>
          <w:szCs w:val="22"/>
        </w:rPr>
      </w:pPr>
      <w:r w:rsidRPr="004F06F2">
        <w:rPr>
          <w:rFonts w:eastAsia="Calibri" w:cs="Times New Roman"/>
          <w:color w:val="000000"/>
          <w:sz w:val="22"/>
          <w:szCs w:val="22"/>
        </w:rPr>
        <w:t xml:space="preserve">1. Los ingresos obtenidos al </w:t>
      </w:r>
      <w:r w:rsidRPr="004F06F2">
        <w:rPr>
          <w:rFonts w:eastAsia="Calibri" w:cs="Times New Roman"/>
          <w:bCs/>
          <w:color w:val="000000"/>
          <w:sz w:val="22"/>
          <w:szCs w:val="22"/>
        </w:rPr>
        <w:t>primer</w:t>
      </w:r>
      <w:r w:rsidRPr="004F06F2">
        <w:rPr>
          <w:rFonts w:eastAsia="Calibri" w:cs="Times New Roman"/>
          <w:color w:val="000000"/>
          <w:sz w:val="22"/>
          <w:szCs w:val="22"/>
        </w:rPr>
        <w:t xml:space="preserve"> trimestre del ejercicio fiscal que se informa, ascienden a 26 mil </w:t>
      </w:r>
      <w:r>
        <w:rPr>
          <w:rFonts w:eastAsia="Calibri" w:cs="Times New Roman"/>
          <w:color w:val="000000"/>
          <w:sz w:val="22"/>
          <w:szCs w:val="22"/>
        </w:rPr>
        <w:t>190</w:t>
      </w:r>
      <w:r w:rsidRPr="004F06F2">
        <w:rPr>
          <w:rFonts w:eastAsia="Calibri" w:cs="Times New Roman"/>
          <w:color w:val="000000"/>
          <w:sz w:val="22"/>
          <w:szCs w:val="22"/>
        </w:rPr>
        <w:t xml:space="preserve"> millones </w:t>
      </w:r>
      <w:r>
        <w:rPr>
          <w:rFonts w:eastAsia="Calibri" w:cs="Times New Roman"/>
          <w:color w:val="000000"/>
          <w:sz w:val="22"/>
          <w:szCs w:val="22"/>
        </w:rPr>
        <w:t>413</w:t>
      </w:r>
      <w:r w:rsidRPr="004F06F2">
        <w:rPr>
          <w:rFonts w:eastAsia="Calibri" w:cs="Times New Roman"/>
          <w:color w:val="000000"/>
          <w:sz w:val="22"/>
          <w:szCs w:val="22"/>
        </w:rPr>
        <w:t xml:space="preserve"> mil </w:t>
      </w:r>
      <w:r>
        <w:rPr>
          <w:rFonts w:eastAsia="Calibri" w:cs="Times New Roman"/>
          <w:color w:val="000000"/>
          <w:sz w:val="22"/>
          <w:szCs w:val="22"/>
        </w:rPr>
        <w:t>186</w:t>
      </w:r>
      <w:r w:rsidRPr="004F06F2">
        <w:rPr>
          <w:rFonts w:eastAsia="Calibri" w:cs="Times New Roman"/>
          <w:color w:val="000000"/>
          <w:sz w:val="22"/>
          <w:szCs w:val="22"/>
        </w:rPr>
        <w:t xml:space="preserve"> pesos, que se integran principalmente por participaciones, aportaciones, transferencias, asignaciones, subsidios y otras ayudas que representan el 9</w:t>
      </w:r>
      <w:r>
        <w:rPr>
          <w:rFonts w:eastAsia="Calibri" w:cs="Times New Roman"/>
          <w:color w:val="000000"/>
          <w:sz w:val="22"/>
          <w:szCs w:val="22"/>
        </w:rPr>
        <w:t>0</w:t>
      </w:r>
      <w:r w:rsidRPr="004F06F2">
        <w:rPr>
          <w:rFonts w:eastAsia="Calibri" w:cs="Times New Roman"/>
          <w:color w:val="000000"/>
          <w:sz w:val="22"/>
          <w:szCs w:val="22"/>
        </w:rPr>
        <w:t xml:space="preserve">% </w:t>
      </w:r>
      <w:r w:rsidRPr="004F06F2">
        <w:rPr>
          <w:rFonts w:eastAsia="Calibri" w:cs="Times New Roman"/>
          <w:sz w:val="22"/>
          <w:szCs w:val="22"/>
        </w:rPr>
        <w:t xml:space="preserve">así como ingresos de la gestión que representan el </w:t>
      </w:r>
      <w:r>
        <w:rPr>
          <w:rFonts w:eastAsia="Calibri" w:cs="Times New Roman"/>
          <w:sz w:val="22"/>
          <w:szCs w:val="22"/>
        </w:rPr>
        <w:t>10</w:t>
      </w:r>
      <w:r w:rsidRPr="004F06F2">
        <w:rPr>
          <w:rFonts w:eastAsia="Calibri" w:cs="Times New Roman"/>
          <w:sz w:val="22"/>
          <w:szCs w:val="22"/>
        </w:rPr>
        <w:t>%, como se detalla a continuación:</w:t>
      </w:r>
      <w:r w:rsidRPr="004F06F2">
        <w:rPr>
          <w:rFonts w:ascii="Arial" w:hAnsi="Arial" w:cs="Arial"/>
          <w:sz w:val="22"/>
          <w:szCs w:val="22"/>
        </w:rPr>
        <w:t xml:space="preserve"> </w:t>
      </w:r>
    </w:p>
    <w:p w:rsidR="00995380" w:rsidRDefault="00995380" w:rsidP="00995380">
      <w:pPr>
        <w:spacing w:before="0" w:after="0"/>
        <w:rPr>
          <w:rFonts w:ascii="Arial" w:hAnsi="Arial" w:cs="Arial"/>
          <w:sz w:val="22"/>
          <w:szCs w:val="22"/>
        </w:rPr>
      </w:pPr>
    </w:p>
    <w:p w:rsidR="00995380" w:rsidRPr="004F06F2" w:rsidRDefault="00995380" w:rsidP="00995380">
      <w:pPr>
        <w:spacing w:before="0" w:after="0"/>
        <w:rPr>
          <w:rFonts w:ascii="Arial" w:hAnsi="Arial" w:cs="Arial"/>
          <w:sz w:val="22"/>
          <w:szCs w:val="22"/>
        </w:rPr>
      </w:pPr>
      <w:r w:rsidRPr="005C28AA">
        <w:rPr>
          <w:noProof/>
          <w:lang w:val="es-MX" w:eastAsia="es-MX"/>
        </w:rPr>
        <w:drawing>
          <wp:inline distT="0" distB="0" distL="0" distR="0" wp14:anchorId="2D0A2F91" wp14:editId="7ACF8C8A">
            <wp:extent cx="6351270" cy="903636"/>
            <wp:effectExtent l="0" t="0" r="0" b="0"/>
            <wp:docPr id="817789827" name="Imagen 81778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rsidR="00995380" w:rsidRPr="004F06F2" w:rsidRDefault="00995380" w:rsidP="00995380">
      <w:pPr>
        <w:spacing w:before="0" w:after="0"/>
        <w:jc w:val="center"/>
        <w:rPr>
          <w:rFonts w:eastAsia="Calibri" w:cs="Times New Roman"/>
          <w:b/>
          <w:color w:val="833C0B"/>
          <w:sz w:val="22"/>
          <w:szCs w:val="22"/>
        </w:rPr>
      </w:pPr>
    </w:p>
    <w:p w:rsidR="00995380" w:rsidRPr="005C28AA" w:rsidRDefault="00995380" w:rsidP="00995380">
      <w:r w:rsidRPr="004F06F2">
        <w:rPr>
          <w:rFonts w:eastAsia="Calibri" w:cs="Times New Roman"/>
          <w:sz w:val="22"/>
          <w:szCs w:val="22"/>
        </w:rPr>
        <w:t xml:space="preserve">En relación con los ingresos obtenidos, se encuentra en forma específica un análisis por concepto, en el apartado </w:t>
      </w:r>
      <w:r w:rsidRPr="004F06F2">
        <w:rPr>
          <w:b/>
          <w:bCs/>
        </w:rPr>
        <w:t xml:space="preserve">II.1.c ANALISIS </w:t>
      </w:r>
      <w:r w:rsidRPr="004F06F2">
        <w:rPr>
          <w:b/>
          <w:bCs/>
        </w:rPr>
        <w:lastRenderedPageBreak/>
        <w:t xml:space="preserve">DE INGRESOS, </w:t>
      </w:r>
      <w:r w:rsidRPr="004F06F2">
        <w:t>por lo que en este apartado se informa de manera general.</w:t>
      </w:r>
    </w:p>
    <w:p w:rsidR="00995380" w:rsidRPr="004F06F2" w:rsidRDefault="00995380" w:rsidP="00995380">
      <w:pPr>
        <w:rPr>
          <w:b/>
          <w:bCs/>
        </w:rPr>
      </w:pPr>
      <w:r w:rsidRPr="004F06F2">
        <w:rPr>
          <w:b/>
          <w:bCs/>
        </w:rPr>
        <w:t>- INGRESOS DE GESTIÓN</w:t>
      </w:r>
    </w:p>
    <w:p w:rsidR="00995380" w:rsidRPr="00F91796" w:rsidRDefault="00995380" w:rsidP="00995380">
      <w:r w:rsidRPr="004F06F2">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2 mil </w:t>
      </w:r>
      <w:r>
        <w:t>630</w:t>
      </w:r>
      <w:r w:rsidRPr="004F06F2">
        <w:t xml:space="preserve"> millones </w:t>
      </w:r>
      <w:r>
        <w:t>144</w:t>
      </w:r>
      <w:r w:rsidRPr="004F06F2">
        <w:t xml:space="preserve"> mil </w:t>
      </w:r>
      <w:r>
        <w:t>174</w:t>
      </w:r>
      <w:r w:rsidRPr="004F06F2">
        <w:t xml:space="preserve"> pesos, como sigue:</w:t>
      </w:r>
    </w:p>
    <w:p w:rsidR="00995380" w:rsidRPr="004F06F2" w:rsidRDefault="00995380" w:rsidP="00995380">
      <w:r w:rsidRPr="005C28AA">
        <w:rPr>
          <w:noProof/>
          <w:lang w:val="es-MX" w:eastAsia="es-MX"/>
        </w:rPr>
        <w:drawing>
          <wp:inline distT="0" distB="0" distL="0" distR="0" wp14:anchorId="074F7330" wp14:editId="0E029F07">
            <wp:extent cx="6351270" cy="1123090"/>
            <wp:effectExtent l="0" t="0" r="0" b="1270"/>
            <wp:docPr id="817789828" name="Imagen 81778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rsidR="00995380" w:rsidRPr="004F06F2" w:rsidRDefault="00995380" w:rsidP="00995380">
      <w:pPr>
        <w:rPr>
          <w:rFonts w:eastAsia="Calibri" w:cs="Times New Roman"/>
          <w:sz w:val="22"/>
          <w:szCs w:val="22"/>
        </w:rPr>
      </w:pPr>
    </w:p>
    <w:p w:rsidR="00995380" w:rsidRPr="004F06F2" w:rsidRDefault="00995380" w:rsidP="00995380">
      <w:pPr>
        <w:rPr>
          <w:b/>
          <w:bCs/>
        </w:rPr>
      </w:pPr>
      <w:r w:rsidRPr="00AF75FA">
        <w:rPr>
          <w:b/>
          <w:bCs/>
        </w:rPr>
        <w:t>- PARTICIPACIONES, APORTACIONES, CONVENIOS, INCENTIVOS DERIVADOS DE LA COLABORACIÓN FISCAL, FONDOS DISTINTOS DE APORTACIONES, TRANSFERENCIAS, ASIGNACIONES, SUBSIDIOS Y SUBVENCIONES, Y PENSIONES Y JUBILACIONES.</w:t>
      </w:r>
    </w:p>
    <w:p w:rsidR="00995380" w:rsidRDefault="00995380" w:rsidP="00995380">
      <w:r w:rsidRPr="004F06F2">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4F06F2">
        <w:t xml:space="preserve">están armonizados en los rubros del Clasificador por Rubro de Ingresos (CRI), se informan los montos totales obtenidos por </w:t>
      </w:r>
      <w:r>
        <w:t>23</w:t>
      </w:r>
      <w:r w:rsidRPr="004F06F2">
        <w:t xml:space="preserve"> mil </w:t>
      </w:r>
      <w:r>
        <w:t>558</w:t>
      </w:r>
      <w:r w:rsidRPr="004F06F2">
        <w:t xml:space="preserve"> millones </w:t>
      </w:r>
      <w:r>
        <w:t>447</w:t>
      </w:r>
      <w:r w:rsidRPr="004F06F2">
        <w:t xml:space="preserve"> mil </w:t>
      </w:r>
      <w:r>
        <w:t>563</w:t>
      </w:r>
      <w:r w:rsidRPr="004F06F2">
        <w:t xml:space="preserve"> pesos, como sigue:</w:t>
      </w:r>
    </w:p>
    <w:p w:rsidR="00995380" w:rsidRDefault="00995380" w:rsidP="00995380"/>
    <w:p w:rsidR="00995380" w:rsidRPr="004F06F2" w:rsidRDefault="00995380" w:rsidP="00995380">
      <w:r w:rsidRPr="00AF75FA">
        <w:rPr>
          <w:noProof/>
          <w:lang w:val="es-MX" w:eastAsia="es-MX"/>
        </w:rPr>
        <w:drawing>
          <wp:inline distT="0" distB="0" distL="0" distR="0" wp14:anchorId="159B97ED" wp14:editId="0D202469">
            <wp:extent cx="6351270" cy="671272"/>
            <wp:effectExtent l="0" t="0" r="0" b="0"/>
            <wp:docPr id="1781285743" name="Imagen 178128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1270" cy="671272"/>
                    </a:xfrm>
                    <a:prstGeom prst="rect">
                      <a:avLst/>
                    </a:prstGeom>
                    <a:noFill/>
                    <a:ln>
                      <a:noFill/>
                    </a:ln>
                  </pic:spPr>
                </pic:pic>
              </a:graphicData>
            </a:graphic>
          </wp:inline>
        </w:drawing>
      </w:r>
    </w:p>
    <w:p w:rsidR="00995380" w:rsidRPr="004F06F2" w:rsidRDefault="00995380" w:rsidP="00995380">
      <w:pPr>
        <w:rPr>
          <w:rFonts w:eastAsia="Calibri" w:cs="Times New Roman"/>
          <w:b/>
          <w:bCs/>
          <w:color w:val="000000"/>
          <w:sz w:val="22"/>
          <w:szCs w:val="22"/>
        </w:rPr>
      </w:pPr>
    </w:p>
    <w:p w:rsidR="00995380" w:rsidRPr="004F06F2" w:rsidRDefault="00995380" w:rsidP="00995380">
      <w:pPr>
        <w:rPr>
          <w:rFonts w:eastAsia="Calibri" w:cs="Times New Roman"/>
          <w:b/>
          <w:bCs/>
          <w:color w:val="000000"/>
          <w:sz w:val="22"/>
          <w:szCs w:val="22"/>
        </w:rPr>
      </w:pPr>
      <w:r w:rsidRPr="004F06F2">
        <w:rPr>
          <w:rFonts w:eastAsia="Calibri" w:cs="Times New Roman"/>
          <w:b/>
          <w:bCs/>
          <w:color w:val="000000"/>
          <w:sz w:val="22"/>
          <w:szCs w:val="22"/>
        </w:rPr>
        <w:t xml:space="preserve">- </w:t>
      </w:r>
      <w:r w:rsidRPr="00AF75FA">
        <w:rPr>
          <w:rFonts w:eastAsia="Calibri" w:cs="Times New Roman"/>
          <w:b/>
          <w:bCs/>
          <w:color w:val="000000"/>
          <w:sz w:val="22"/>
          <w:szCs w:val="22"/>
        </w:rPr>
        <w:t>OTROS INGRESOS Y BENEFICIOS</w:t>
      </w:r>
    </w:p>
    <w:p w:rsidR="00995380" w:rsidRDefault="00995380" w:rsidP="00995380">
      <w:pPr>
        <w:rPr>
          <w:rFonts w:eastAsia="Calibri" w:cs="Times New Roman"/>
          <w:bCs/>
          <w:color w:val="000000"/>
          <w:sz w:val="22"/>
          <w:szCs w:val="22"/>
        </w:rPr>
      </w:pPr>
      <w:r w:rsidRPr="004F06F2">
        <w:rPr>
          <w:rFonts w:eastAsia="Calibri" w:cs="Times New Roman"/>
          <w:bCs/>
          <w:color w:val="000000"/>
          <w:sz w:val="22"/>
          <w:szCs w:val="22"/>
        </w:rPr>
        <w:t>Se compone de los rubros de ingresos financieros, incremento por variación de inventarios, disminución del exceso por pérdida o Deterioro u obsolescencia, disminución de excesos de provisiones y de otros ingresos y beneficios varios y se informan los montos totales como sigue:</w:t>
      </w:r>
    </w:p>
    <w:p w:rsidR="00995380" w:rsidRPr="004F06F2" w:rsidRDefault="00995380" w:rsidP="00995380">
      <w:pPr>
        <w:rPr>
          <w:rFonts w:eastAsia="Calibri" w:cs="Times New Roman"/>
          <w:bCs/>
          <w:color w:val="000000"/>
          <w:sz w:val="22"/>
          <w:szCs w:val="22"/>
        </w:rPr>
      </w:pPr>
      <w:r w:rsidRPr="00AF75FA">
        <w:rPr>
          <w:noProof/>
          <w:lang w:val="es-MX" w:eastAsia="es-MX"/>
        </w:rPr>
        <w:drawing>
          <wp:inline distT="0" distB="0" distL="0" distR="0" wp14:anchorId="2521844C" wp14:editId="11DD1B46">
            <wp:extent cx="6351270" cy="677727"/>
            <wp:effectExtent l="0" t="0" r="0" b="8255"/>
            <wp:docPr id="1781285744" name="Imagen 178128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270" cy="677727"/>
                    </a:xfrm>
                    <a:prstGeom prst="rect">
                      <a:avLst/>
                    </a:prstGeom>
                    <a:noFill/>
                    <a:ln>
                      <a:noFill/>
                    </a:ln>
                  </pic:spPr>
                </pic:pic>
              </a:graphicData>
            </a:graphic>
          </wp:inline>
        </w:drawing>
      </w:r>
    </w:p>
    <w:p w:rsidR="00995380" w:rsidRPr="004F06F2" w:rsidRDefault="00995380" w:rsidP="00995380">
      <w:pPr>
        <w:rPr>
          <w:rFonts w:eastAsia="Calibri" w:cs="Times New Roman"/>
          <w:b/>
          <w:bCs/>
          <w:color w:val="000000"/>
          <w:sz w:val="22"/>
          <w:szCs w:val="22"/>
        </w:rPr>
      </w:pPr>
    </w:p>
    <w:p w:rsidR="00995380" w:rsidRPr="004F06F2" w:rsidRDefault="00995380" w:rsidP="00995380">
      <w:pPr>
        <w:rPr>
          <w:rFonts w:eastAsia="Calibri" w:cs="Times New Roman"/>
          <w:b/>
          <w:bCs/>
          <w:color w:val="000000"/>
          <w:sz w:val="22"/>
          <w:szCs w:val="22"/>
        </w:rPr>
      </w:pPr>
      <w:r w:rsidRPr="004F06F2">
        <w:rPr>
          <w:rFonts w:eastAsia="Calibri" w:cs="Times New Roman"/>
          <w:b/>
          <w:bCs/>
          <w:color w:val="000000"/>
          <w:sz w:val="22"/>
          <w:szCs w:val="22"/>
        </w:rPr>
        <w:t>GASTOS Y OTRAS PÉRDIDAS</w:t>
      </w:r>
    </w:p>
    <w:p w:rsidR="00995380" w:rsidRDefault="00995380" w:rsidP="00995380">
      <w:pPr>
        <w:rPr>
          <w:rFonts w:ascii="Arial" w:hAnsi="Arial" w:cs="Arial"/>
          <w:color w:val="000000"/>
          <w:sz w:val="22"/>
          <w:szCs w:val="22"/>
        </w:rPr>
      </w:pPr>
      <w:r w:rsidRPr="004F06F2">
        <w:rPr>
          <w:rFonts w:eastAsia="Calibri" w:cs="Times New Roman"/>
          <w:color w:val="000000"/>
          <w:sz w:val="22"/>
          <w:szCs w:val="22"/>
        </w:rPr>
        <w:t>1. En lo relativo al gasto y otras pérdidas, se refleja el gasto devengado, en cumplimiento de la normatividad emitida por el Consejo Nacional de Armonización Contable, el cual ascendió a 2</w:t>
      </w:r>
      <w:r>
        <w:rPr>
          <w:rFonts w:eastAsia="Calibri" w:cs="Times New Roman"/>
          <w:color w:val="000000"/>
          <w:sz w:val="22"/>
          <w:szCs w:val="22"/>
        </w:rPr>
        <w:t>3</w:t>
      </w:r>
      <w:r w:rsidRPr="004F06F2">
        <w:rPr>
          <w:rFonts w:eastAsia="Calibri" w:cs="Times New Roman"/>
          <w:color w:val="000000"/>
          <w:sz w:val="22"/>
          <w:szCs w:val="22"/>
        </w:rPr>
        <w:t xml:space="preserve"> mil </w:t>
      </w:r>
      <w:r>
        <w:rPr>
          <w:rFonts w:eastAsia="Calibri" w:cs="Times New Roman"/>
          <w:color w:val="000000"/>
          <w:sz w:val="22"/>
          <w:szCs w:val="22"/>
        </w:rPr>
        <w:t>23</w:t>
      </w:r>
      <w:r w:rsidRPr="004F06F2">
        <w:rPr>
          <w:rFonts w:eastAsia="Calibri" w:cs="Times New Roman"/>
          <w:color w:val="000000"/>
          <w:sz w:val="22"/>
          <w:szCs w:val="22"/>
        </w:rPr>
        <w:t xml:space="preserve"> millones 3</w:t>
      </w:r>
      <w:r>
        <w:rPr>
          <w:rFonts w:eastAsia="Calibri" w:cs="Times New Roman"/>
          <w:color w:val="000000"/>
          <w:sz w:val="22"/>
          <w:szCs w:val="22"/>
        </w:rPr>
        <w:t>19</w:t>
      </w:r>
      <w:r w:rsidRPr="004F06F2">
        <w:rPr>
          <w:rFonts w:eastAsia="Calibri" w:cs="Times New Roman"/>
          <w:color w:val="000000"/>
          <w:sz w:val="22"/>
          <w:szCs w:val="22"/>
        </w:rPr>
        <w:t xml:space="preserve"> mil </w:t>
      </w:r>
      <w:r>
        <w:rPr>
          <w:rFonts w:eastAsia="Calibri" w:cs="Times New Roman"/>
          <w:color w:val="000000"/>
          <w:sz w:val="22"/>
          <w:szCs w:val="22"/>
        </w:rPr>
        <w:t>402</w:t>
      </w:r>
      <w:r w:rsidRPr="004F06F2">
        <w:rPr>
          <w:rFonts w:eastAsia="Calibri" w:cs="Times New Roman"/>
          <w:color w:val="000000"/>
          <w:sz w:val="22"/>
          <w:szCs w:val="22"/>
        </w:rPr>
        <w:t xml:space="preserve"> pesos como se detalla enseguida:</w:t>
      </w:r>
      <w:r w:rsidRPr="004F06F2">
        <w:rPr>
          <w:rFonts w:ascii="Arial" w:hAnsi="Arial" w:cs="Arial"/>
          <w:color w:val="000000"/>
          <w:sz w:val="22"/>
          <w:szCs w:val="22"/>
        </w:rPr>
        <w:t xml:space="preserve"> </w:t>
      </w:r>
    </w:p>
    <w:p w:rsidR="00995380" w:rsidRPr="005C28AA" w:rsidRDefault="00995380" w:rsidP="00995380">
      <w:pPr>
        <w:rPr>
          <w:rFonts w:ascii="Arial" w:hAnsi="Arial" w:cs="Arial"/>
          <w:color w:val="000000"/>
          <w:sz w:val="22"/>
          <w:szCs w:val="22"/>
        </w:rPr>
      </w:pPr>
      <w:r w:rsidRPr="005C28AA">
        <w:rPr>
          <w:noProof/>
          <w:lang w:val="es-MX" w:eastAsia="es-MX"/>
        </w:rPr>
        <w:drawing>
          <wp:inline distT="0" distB="0" distL="0" distR="0" wp14:anchorId="6A6C00BA" wp14:editId="4C64D788">
            <wp:extent cx="6351270" cy="1123090"/>
            <wp:effectExtent l="0" t="0" r="0" b="1270"/>
            <wp:docPr id="817789831" name="Imagen 81778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rsidR="00995380" w:rsidRPr="004F06F2" w:rsidRDefault="00995380" w:rsidP="00995380">
      <w:pPr>
        <w:spacing w:before="120" w:after="120"/>
        <w:rPr>
          <w:rFonts w:eastAsia="Calibri" w:cs="Times New Roman"/>
          <w:sz w:val="22"/>
          <w:szCs w:val="22"/>
        </w:rPr>
      </w:pPr>
      <w:r w:rsidRPr="004F06F2">
        <w:rPr>
          <w:rFonts w:eastAsia="Calibri" w:cs="Times New Roman"/>
          <w:sz w:val="22"/>
          <w:szCs w:val="22"/>
        </w:rPr>
        <w:t>A continuación, se explican aquellas cuentas del gasto que en lo individual representan el 10% o más del gasto total, siendo las más representativas las siguientes:</w:t>
      </w:r>
    </w:p>
    <w:p w:rsidR="00995380" w:rsidRPr="004F06F2" w:rsidRDefault="00995380" w:rsidP="00995380">
      <w:pPr>
        <w:spacing w:before="120" w:after="120"/>
        <w:rPr>
          <w:rFonts w:eastAsia="Calibri" w:cs="Times New Roman"/>
          <w:sz w:val="22"/>
          <w:szCs w:val="22"/>
        </w:rPr>
      </w:pPr>
      <w:r w:rsidRPr="004F06F2">
        <w:rPr>
          <w:rFonts w:eastAsia="Calibri" w:cs="Times New Roman"/>
          <w:b/>
          <w:sz w:val="22"/>
          <w:szCs w:val="22"/>
        </w:rPr>
        <w:t>Servicios Personales</w:t>
      </w:r>
      <w:r w:rsidRPr="004F06F2">
        <w:rPr>
          <w:rFonts w:eastAsia="Calibri" w:cs="Times New Roman"/>
          <w:sz w:val="22"/>
          <w:szCs w:val="22"/>
        </w:rPr>
        <w:t xml:space="preserve">: Representa el </w:t>
      </w:r>
      <w:r>
        <w:rPr>
          <w:rFonts w:eastAsia="Calibri" w:cs="Times New Roman"/>
          <w:sz w:val="22"/>
          <w:szCs w:val="22"/>
        </w:rPr>
        <w:t>38</w:t>
      </w:r>
      <w:r w:rsidRPr="004F06F2">
        <w:rPr>
          <w:rFonts w:eastAsia="Calibri" w:cs="Times New Roman"/>
          <w:sz w:val="22"/>
          <w:szCs w:val="22"/>
        </w:rPr>
        <w:t xml:space="preserve">% y agrupa las remuneraciones del </w:t>
      </w:r>
      <w:r w:rsidRPr="004F06F2">
        <w:rPr>
          <w:rFonts w:eastAsia="Calibri" w:cs="Times New Roman"/>
          <w:bCs/>
          <w:sz w:val="22"/>
          <w:szCs w:val="22"/>
        </w:rPr>
        <w:t>personal</w:t>
      </w:r>
      <w:r w:rsidRPr="004F06F2">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rsidR="00995380" w:rsidRPr="004F06F2" w:rsidRDefault="00995380" w:rsidP="00995380">
      <w:pPr>
        <w:spacing w:before="120" w:after="120"/>
        <w:rPr>
          <w:rFonts w:eastAsia="Calibri" w:cs="Times New Roman"/>
          <w:sz w:val="22"/>
          <w:szCs w:val="22"/>
        </w:rPr>
      </w:pPr>
      <w:r w:rsidRPr="004F06F2">
        <w:rPr>
          <w:rFonts w:eastAsia="Calibri" w:cs="Times New Roman"/>
          <w:b/>
          <w:sz w:val="22"/>
          <w:szCs w:val="22"/>
        </w:rPr>
        <w:t>Transferencias, Asignaciones, Subsidios y Otras Ayudas:</w:t>
      </w:r>
      <w:r w:rsidRPr="004F06F2">
        <w:rPr>
          <w:rFonts w:eastAsia="Calibri" w:cs="Times New Roman"/>
          <w:sz w:val="22"/>
          <w:szCs w:val="22"/>
        </w:rPr>
        <w:t xml:space="preserve"> El 3</w:t>
      </w:r>
      <w:r>
        <w:rPr>
          <w:rFonts w:eastAsia="Calibri" w:cs="Times New Roman"/>
          <w:sz w:val="22"/>
          <w:szCs w:val="22"/>
        </w:rPr>
        <w:t>3</w:t>
      </w:r>
      <w:r w:rsidRPr="004F06F2">
        <w:rPr>
          <w:rFonts w:eastAsia="Calibri" w:cs="Times New Roman"/>
          <w:sz w:val="22"/>
          <w:szCs w:val="22"/>
        </w:rPr>
        <w:t xml:space="preserve">% del gasto que se destinó, a los entes públicos contenidos en el </w:t>
      </w:r>
      <w:r w:rsidRPr="004F06F2">
        <w:rPr>
          <w:rFonts w:eastAsia="Calibri" w:cs="Times New Roman"/>
          <w:sz w:val="22"/>
          <w:szCs w:val="22"/>
        </w:rPr>
        <w:lastRenderedPageBreak/>
        <w:t>Presupuesto de Egresos con el objeto de sufragar gastos inherentes a sus atribuciones.</w:t>
      </w:r>
    </w:p>
    <w:p w:rsidR="00995380" w:rsidRPr="004F06F2" w:rsidRDefault="00995380" w:rsidP="00995380">
      <w:pPr>
        <w:spacing w:before="0" w:after="0"/>
        <w:rPr>
          <w:rFonts w:eastAsia="Calibri" w:cs="Times New Roman"/>
          <w:sz w:val="22"/>
          <w:szCs w:val="22"/>
        </w:rPr>
      </w:pPr>
      <w:r w:rsidRPr="004F06F2">
        <w:rPr>
          <w:rFonts w:eastAsia="Calibri" w:cs="Times New Roman"/>
          <w:b/>
          <w:sz w:val="22"/>
          <w:szCs w:val="22"/>
        </w:rPr>
        <w:t>Participaciones y Aportaciones</w:t>
      </w:r>
      <w:r w:rsidRPr="004F06F2">
        <w:rPr>
          <w:rFonts w:eastAsia="Calibri" w:cs="Times New Roman"/>
          <w:sz w:val="22"/>
          <w:szCs w:val="22"/>
        </w:rPr>
        <w:t xml:space="preserve">: Las erogaciones con cargo a este apartado, representan el </w:t>
      </w:r>
      <w:r>
        <w:rPr>
          <w:rFonts w:eastAsia="Calibri" w:cs="Times New Roman"/>
          <w:sz w:val="22"/>
          <w:szCs w:val="22"/>
        </w:rPr>
        <w:t>19</w:t>
      </w:r>
      <w:r w:rsidRPr="004F06F2">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rsidR="00995380" w:rsidRDefault="00995380" w:rsidP="00995380">
      <w:pPr>
        <w:spacing w:before="0" w:after="0"/>
        <w:jc w:val="left"/>
        <w:rPr>
          <w:rFonts w:eastAsia="Calibri" w:cs="Times New Roman"/>
          <w:b/>
        </w:rPr>
      </w:pPr>
    </w:p>
    <w:p w:rsidR="00995380" w:rsidRPr="004F06F2" w:rsidRDefault="00995380" w:rsidP="00995380">
      <w:pPr>
        <w:spacing w:before="0" w:after="0"/>
        <w:jc w:val="left"/>
        <w:rPr>
          <w:rFonts w:eastAsia="Calibri" w:cs="Times New Roman"/>
          <w:b/>
        </w:rPr>
      </w:pPr>
      <w:r w:rsidRPr="004F06F2">
        <w:rPr>
          <w:rFonts w:eastAsia="Calibri" w:cs="Times New Roman"/>
          <w:b/>
        </w:rPr>
        <w:t>II). NOTAS AL ESTADO DE SITUACIÓN FINANCIERA</w:t>
      </w:r>
    </w:p>
    <w:p w:rsidR="00995380" w:rsidRPr="004F06F2" w:rsidRDefault="00995380" w:rsidP="00995380">
      <w:pPr>
        <w:spacing w:before="0" w:after="0"/>
        <w:jc w:val="left"/>
        <w:rPr>
          <w:rFonts w:eastAsia="Calibri" w:cs="Times New Roman"/>
          <w:b/>
        </w:rPr>
      </w:pPr>
    </w:p>
    <w:p w:rsidR="00995380" w:rsidRPr="004F06F2" w:rsidRDefault="00995380" w:rsidP="00995380">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ACTIVO </w:t>
      </w:r>
    </w:p>
    <w:p w:rsidR="00995380" w:rsidRPr="004F06F2" w:rsidRDefault="00995380" w:rsidP="00995380">
      <w:pPr>
        <w:spacing w:before="0" w:after="0"/>
        <w:rPr>
          <w:rFonts w:eastAsia="Times New Roman" w:cs="Times New Roman"/>
          <w:b/>
          <w:color w:val="000000"/>
          <w:sz w:val="22"/>
          <w:szCs w:val="22"/>
          <w:lang w:eastAsia="es-MX"/>
        </w:rPr>
      </w:pPr>
    </w:p>
    <w:p w:rsidR="00995380" w:rsidRPr="004F06F2" w:rsidRDefault="00995380" w:rsidP="00995380">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EFECTIVO Y EQUIVALENTES</w:t>
      </w:r>
    </w:p>
    <w:p w:rsidR="00995380" w:rsidRPr="004F06F2" w:rsidRDefault="00995380" w:rsidP="00995380">
      <w:pPr>
        <w:spacing w:before="0" w:after="0"/>
        <w:rPr>
          <w:rFonts w:eastAsia="Times New Roman" w:cs="Times New Roman"/>
          <w:color w:val="000000"/>
          <w:sz w:val="22"/>
          <w:szCs w:val="22"/>
          <w:lang w:eastAsia="es-MX"/>
        </w:rPr>
      </w:pPr>
    </w:p>
    <w:p w:rsidR="00995380" w:rsidRPr="004F06F2" w:rsidRDefault="00995380" w:rsidP="00995380">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saldo de </w:t>
      </w:r>
      <w:r>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xml:space="preserve"> mil 5</w:t>
      </w:r>
      <w:r>
        <w:rPr>
          <w:rFonts w:eastAsia="Times New Roman" w:cs="Times New Roman"/>
          <w:color w:val="000000"/>
          <w:sz w:val="22"/>
          <w:szCs w:val="22"/>
          <w:lang w:eastAsia="es-MX"/>
        </w:rPr>
        <w:t>43</w:t>
      </w:r>
      <w:r w:rsidRPr="004F06F2">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335</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577</w:t>
      </w:r>
      <w:r w:rsidRPr="004F06F2">
        <w:rPr>
          <w:rFonts w:eastAsia="Times New Roman" w:cs="Times New Roman"/>
          <w:color w:val="000000"/>
          <w:sz w:val="22"/>
          <w:szCs w:val="22"/>
          <w:lang w:eastAsia="es-MX"/>
        </w:rPr>
        <w:t xml:space="preserve"> pesos, representa los recursos en efectivo y cuentas bancarias propiedad del Gobierno del Estado, así como en inversiones temporales recuperables, en donde se encuentran recursos pendientes de aplicar de convenios y fondos federales, que se harán de conformidad con las reglas de cada uno de ellos, y en el pago a Proveedores, Terceros Institucionales, Impuesto Sobre la Renta Retenido y Cuotas y Aportaciones Patronales. </w:t>
      </w:r>
    </w:p>
    <w:p w:rsidR="00995380" w:rsidRPr="004F06F2" w:rsidRDefault="00995380" w:rsidP="00995380">
      <w:pPr>
        <w:spacing w:before="0" w:after="0"/>
        <w:rPr>
          <w:rFonts w:eastAsia="Times New Roman" w:cs="Times New Roman"/>
          <w:color w:val="000000"/>
          <w:sz w:val="22"/>
          <w:szCs w:val="22"/>
          <w:lang w:eastAsia="es-MX"/>
        </w:rPr>
      </w:pP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Su integración detallada es la siguiente:</w:t>
      </w:r>
    </w:p>
    <w:p w:rsidR="00995380"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D615E6">
        <w:rPr>
          <w:noProof/>
          <w:lang w:val="es-MX" w:eastAsia="es-MX"/>
        </w:rPr>
        <w:drawing>
          <wp:inline distT="0" distB="0" distL="0" distR="0" wp14:anchorId="53AD4ED4" wp14:editId="3AB5ED5D">
            <wp:extent cx="6351270" cy="787454"/>
            <wp:effectExtent l="0" t="0" r="0" b="0"/>
            <wp:docPr id="817789832" name="Imagen 81778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270" cy="787454"/>
                    </a:xfrm>
                    <a:prstGeom prst="rect">
                      <a:avLst/>
                    </a:prstGeom>
                    <a:noFill/>
                    <a:ln>
                      <a:noFill/>
                    </a:ln>
                  </pic:spPr>
                </pic:pic>
              </a:graphicData>
            </a:graphic>
          </wp:inline>
        </w:drawing>
      </w:r>
    </w:p>
    <w:p w:rsidR="00995380"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Representa el 49% del activo circulante y dicho rubro está compuesto principalmente por las inversiones temporales y los fondos con </w:t>
      </w:r>
      <w:r>
        <w:rPr>
          <w:rFonts w:eastAsia="Times New Roman" w:cs="Times New Roman"/>
          <w:color w:val="000000"/>
          <w:sz w:val="22"/>
          <w:szCs w:val="22"/>
          <w:lang w:eastAsia="es-MX"/>
        </w:rPr>
        <w:lastRenderedPageBreak/>
        <w:t>aportaciones especificas siendo los segundos mencionados mayores a los primeros.</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En este sentido, se </w:t>
      </w:r>
      <w:r w:rsidRPr="00BE1F8D">
        <w:rPr>
          <w:rFonts w:eastAsia="Times New Roman" w:cs="Times New Roman"/>
          <w:color w:val="000000"/>
          <w:sz w:val="22"/>
          <w:szCs w:val="22"/>
          <w:lang w:eastAsia="es-MX"/>
        </w:rPr>
        <w:t>destacan las cuentas bancarias de fondos específicos</w:t>
      </w:r>
      <w:r w:rsidRPr="004F06F2">
        <w:rPr>
          <w:rFonts w:eastAsia="Times New Roman" w:cs="Times New Roman"/>
          <w:color w:val="000000"/>
          <w:sz w:val="22"/>
          <w:szCs w:val="22"/>
          <w:lang w:eastAsia="es-MX"/>
        </w:rPr>
        <w:t xml:space="preserve"> por convenios o fondos federales, del ejercicio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que cuentan con los saldos siguientes:</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EC778A">
        <w:rPr>
          <w:noProof/>
          <w:lang w:val="es-MX" w:eastAsia="es-MX"/>
        </w:rPr>
        <w:drawing>
          <wp:inline distT="0" distB="0" distL="0" distR="0" wp14:anchorId="705FD429" wp14:editId="275B1EC2">
            <wp:extent cx="6116320" cy="49599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959985"/>
                    </a:xfrm>
                    <a:prstGeom prst="rect">
                      <a:avLst/>
                    </a:prstGeom>
                    <a:noFill/>
                    <a:ln>
                      <a:noFill/>
                    </a:ln>
                  </pic:spPr>
                </pic:pic>
              </a:graphicData>
            </a:graphic>
          </wp:inline>
        </w:drawing>
      </w:r>
    </w:p>
    <w:p w:rsidR="00995380" w:rsidRDefault="00995380" w:rsidP="00995380">
      <w:pPr>
        <w:widowControl w:val="0"/>
        <w:kinsoku w:val="0"/>
        <w:spacing w:before="0" w:after="0"/>
        <w:contextualSpacing/>
        <w:rPr>
          <w:rFonts w:eastAsia="Times New Roman" w:cs="Times New Roman"/>
          <w:color w:val="000000"/>
          <w:sz w:val="22"/>
          <w:szCs w:val="22"/>
          <w:lang w:eastAsia="es-MX"/>
        </w:rPr>
      </w:pPr>
    </w:p>
    <w:p w:rsidR="00995380" w:rsidRDefault="00995380" w:rsidP="00995380">
      <w:pPr>
        <w:widowControl w:val="0"/>
        <w:kinsoku w:val="0"/>
        <w:spacing w:before="0" w:after="0"/>
        <w:contextualSpacing/>
        <w:rPr>
          <w:rFonts w:eastAsia="Times New Roman" w:cs="Times New Roman"/>
          <w:color w:val="000000"/>
          <w:sz w:val="22"/>
          <w:szCs w:val="22"/>
          <w:lang w:eastAsia="es-MX"/>
        </w:rPr>
      </w:pP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EA1119">
        <w:rPr>
          <w:noProof/>
          <w:lang w:val="es-MX" w:eastAsia="es-MX"/>
        </w:rPr>
        <w:lastRenderedPageBreak/>
        <w:drawing>
          <wp:anchor distT="0" distB="0" distL="114300" distR="114300" simplePos="0" relativeHeight="251659264" behindDoc="0" locked="0" layoutInCell="1" allowOverlap="1" wp14:anchorId="6DB7C7AC" wp14:editId="3E741176">
            <wp:simplePos x="0" y="0"/>
            <wp:positionH relativeFrom="margin">
              <wp:align>center</wp:align>
            </wp:positionH>
            <wp:positionV relativeFrom="paragraph">
              <wp:posOffset>467995</wp:posOffset>
            </wp:positionV>
            <wp:extent cx="4792345" cy="1790700"/>
            <wp:effectExtent l="0" t="0" r="8255" b="0"/>
            <wp:wrapTopAndBottom/>
            <wp:docPr id="817789834" name="Imagen 81778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23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6F2">
        <w:rPr>
          <w:rFonts w:eastAsia="Times New Roman" w:cs="Times New Roman"/>
          <w:color w:val="000000"/>
          <w:sz w:val="22"/>
          <w:szCs w:val="22"/>
          <w:lang w:eastAsia="es-MX"/>
        </w:rPr>
        <w:t>De las Inversiones a corto plazo se revelan por su tipo y monto en el siguiente cuadro:</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DERECHOS A RECIBIR EFECTIVO O EQUIVALENTES</w:t>
      </w:r>
    </w:p>
    <w:p w:rsidR="00995380" w:rsidRPr="004F06F2" w:rsidRDefault="00995380" w:rsidP="00995380">
      <w:pPr>
        <w:spacing w:before="0" w:after="0"/>
        <w:rPr>
          <w:rFonts w:ascii="Arial" w:eastAsia="Times New Roman" w:hAnsi="Arial" w:cs="Arial"/>
          <w:b/>
          <w:bCs/>
          <w:color w:val="000000"/>
          <w:sz w:val="22"/>
          <w:szCs w:val="22"/>
          <w:lang w:eastAsia="es-MX"/>
        </w:rPr>
      </w:pPr>
    </w:p>
    <w:p w:rsidR="00995380" w:rsidRPr="004F06F2" w:rsidRDefault="00995380" w:rsidP="00995380">
      <w:pPr>
        <w:spacing w:before="0" w:after="0"/>
        <w:rPr>
          <w:rFonts w:eastAsia="Times New Roman" w:cs="Times New Roman"/>
          <w:b/>
          <w:bCs/>
          <w:color w:val="000000"/>
          <w:sz w:val="22"/>
          <w:szCs w:val="22"/>
          <w:lang w:eastAsia="es-MX"/>
        </w:rPr>
      </w:pPr>
      <w:r w:rsidRPr="00BE1F8D">
        <w:rPr>
          <w:rFonts w:eastAsia="Times New Roman" w:cs="Times New Roman"/>
          <w:b/>
          <w:bCs/>
          <w:color w:val="000000"/>
          <w:sz w:val="22"/>
          <w:szCs w:val="22"/>
          <w:lang w:eastAsia="es-MX"/>
        </w:rPr>
        <w:t>2. CUENTAS PENDIENTES DE COBRO</w:t>
      </w:r>
    </w:p>
    <w:p w:rsidR="00995380" w:rsidRPr="004F06F2" w:rsidRDefault="00995380" w:rsidP="00995380">
      <w:pPr>
        <w:spacing w:before="0" w:after="0"/>
        <w:rPr>
          <w:rFonts w:eastAsia="Times New Roman" w:cs="Times New Roman"/>
          <w:b/>
          <w:bCs/>
          <w:color w:val="000000"/>
          <w:sz w:val="22"/>
          <w:szCs w:val="22"/>
          <w:lang w:eastAsia="es-MX"/>
        </w:rPr>
      </w:pPr>
    </w:p>
    <w:p w:rsidR="00995380" w:rsidRPr="004F06F2" w:rsidRDefault="00995380" w:rsidP="00995380">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rsidR="00995380" w:rsidRDefault="00995380" w:rsidP="00995380">
      <w:pPr>
        <w:spacing w:before="0" w:after="0"/>
        <w:jc w:val="center"/>
        <w:rPr>
          <w:rFonts w:eastAsia="Times New Roman" w:cs="Times New Roman"/>
          <w:color w:val="000000"/>
          <w:sz w:val="22"/>
          <w:szCs w:val="22"/>
          <w:lang w:eastAsia="es-MX"/>
        </w:rPr>
      </w:pPr>
      <w:r w:rsidRPr="002174C1">
        <w:rPr>
          <w:noProof/>
          <w:lang w:val="es-MX" w:eastAsia="es-MX"/>
        </w:rPr>
        <w:drawing>
          <wp:inline distT="0" distB="0" distL="0" distR="0" wp14:anchorId="05CEBF00" wp14:editId="67822263">
            <wp:extent cx="2092325" cy="1631315"/>
            <wp:effectExtent l="0" t="0" r="3175" b="6985"/>
            <wp:docPr id="74557969" name="Imagen 7455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2325" cy="1631315"/>
                    </a:xfrm>
                    <a:prstGeom prst="rect">
                      <a:avLst/>
                    </a:prstGeom>
                    <a:noFill/>
                    <a:ln>
                      <a:noFill/>
                    </a:ln>
                  </pic:spPr>
                </pic:pic>
              </a:graphicData>
            </a:graphic>
          </wp:inline>
        </w:drawing>
      </w:r>
    </w:p>
    <w:p w:rsidR="00995380" w:rsidRPr="004F06F2" w:rsidRDefault="00995380" w:rsidP="00995380">
      <w:pPr>
        <w:spacing w:before="0" w:after="0"/>
        <w:jc w:val="center"/>
        <w:rPr>
          <w:rFonts w:eastAsia="Times New Roman" w:cs="Times New Roman"/>
          <w:color w:val="000000"/>
          <w:sz w:val="22"/>
          <w:szCs w:val="22"/>
          <w:lang w:eastAsia="es-MX"/>
        </w:rPr>
      </w:pPr>
    </w:p>
    <w:p w:rsidR="00995380" w:rsidRPr="004F06F2" w:rsidRDefault="00995380" w:rsidP="00995380">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3. POR TIPO DE CONTRIBUCIÓN</w:t>
      </w: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El saldo del rubro al 31 de marzo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por </w:t>
      </w:r>
      <w:r>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478</w:t>
      </w:r>
      <w:r w:rsidRPr="004F06F2">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248</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759</w:t>
      </w:r>
      <w:r w:rsidRPr="004F06F2">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Entes Públicos, por las cuales se espera recibir una contraprestación representada en recursos, bienes o servicio, es decir, que aun cuando no son </w:t>
      </w:r>
      <w:r w:rsidRPr="004F06F2">
        <w:rPr>
          <w:rFonts w:eastAsia="Times New Roman" w:cs="Times New Roman"/>
          <w:color w:val="000000"/>
          <w:sz w:val="22"/>
          <w:szCs w:val="22"/>
          <w:lang w:eastAsia="es-MX"/>
        </w:rPr>
        <w:lastRenderedPageBreak/>
        <w:t>efectivo, serán recuperables en el transcurso del año, a continuación, se muestra su integración:</w:t>
      </w: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BD1B55">
        <w:rPr>
          <w:noProof/>
          <w:lang w:val="es-MX" w:eastAsia="es-MX"/>
        </w:rPr>
        <w:drawing>
          <wp:inline distT="0" distB="0" distL="0" distR="0" wp14:anchorId="066E236F" wp14:editId="4A520947">
            <wp:extent cx="6351270" cy="903636"/>
            <wp:effectExtent l="0" t="0" r="0" b="0"/>
            <wp:docPr id="1781285746" name="Imagen 178128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rsidR="00995380" w:rsidRPr="004F06F2" w:rsidRDefault="00995380" w:rsidP="00995380">
      <w:pPr>
        <w:widowControl w:val="0"/>
        <w:kinsoku w:val="0"/>
        <w:spacing w:before="120" w:after="120"/>
        <w:contextualSpacing/>
        <w:rPr>
          <w:rFonts w:eastAsia="Times New Roman" w:cs="Times New Roman"/>
          <w:b/>
          <w:color w:val="000000"/>
          <w:sz w:val="22"/>
          <w:szCs w:val="22"/>
          <w:lang w:eastAsia="es-MX"/>
        </w:rPr>
      </w:pPr>
    </w:p>
    <w:p w:rsidR="00995380" w:rsidRPr="004F06F2" w:rsidRDefault="00995380" w:rsidP="00995380">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cobrar a corto plazo:</w:t>
      </w:r>
    </w:p>
    <w:p w:rsidR="00995380" w:rsidRPr="004F06F2" w:rsidRDefault="00995380" w:rsidP="00995380">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Estas cuentas reflejan el saldo de los ingresos federales devengados a favor del Estado conforme a lo establecido por la Ley General de Contabilidad Gubernamental, que al cierre del trimestre se encuentran en trámite de recaudación.</w:t>
      </w:r>
    </w:p>
    <w:p w:rsidR="00995380" w:rsidRDefault="00995380" w:rsidP="00995380">
      <w:pPr>
        <w:widowControl w:val="0"/>
        <w:kinsoku w:val="0"/>
        <w:spacing w:before="0" w:after="0"/>
        <w:ind w:left="426"/>
        <w:contextualSpacing/>
        <w:rPr>
          <w:rFonts w:eastAsia="Times New Roman" w:cs="Times New Roman"/>
          <w:b/>
          <w:color w:val="000000"/>
          <w:sz w:val="22"/>
          <w:szCs w:val="22"/>
          <w:lang w:eastAsia="es-MX"/>
        </w:rPr>
      </w:pPr>
    </w:p>
    <w:p w:rsidR="00995380" w:rsidRPr="004F06F2" w:rsidRDefault="00995380" w:rsidP="00995380">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Deudores Diversos por cobrar a corto plazo: </w:t>
      </w:r>
    </w:p>
    <w:p w:rsidR="00995380" w:rsidRPr="004F06F2" w:rsidRDefault="00995380" w:rsidP="00995380">
      <w:pPr>
        <w:widowControl w:val="0"/>
        <w:numPr>
          <w:ilvl w:val="0"/>
          <w:numId w:val="2"/>
        </w:numPr>
        <w:spacing w:before="0" w:after="0"/>
        <w:ind w:left="1495"/>
        <w:rPr>
          <w:rFonts w:eastAsia="Times New Roman" w:cs="Times New Roman"/>
          <w:sz w:val="22"/>
          <w:szCs w:val="22"/>
          <w:lang w:eastAsia="es-MX"/>
        </w:rPr>
      </w:pPr>
      <w:r w:rsidRPr="004F06F2">
        <w:rPr>
          <w:rFonts w:eastAsia="Times New Roman" w:cs="Times New Roman"/>
          <w:sz w:val="22"/>
          <w:szCs w:val="22"/>
          <w:lang w:eastAsia="es-MX"/>
        </w:rPr>
        <w:t xml:space="preserve">El saldo de este rubro, lo constituyen los préstamos que adeudan las distintas Unidades Programáticas Presupuestarias a cuenta de su presupuesto a través de documentos de pago provisionales y que no han regularizado, así mismo, se incluyen en este mismo rubro, los adeudos por descuentos que la Federación hace al Estado de sus participaciones Federales, por adeudos al Instituto Mexicano del Seguro Social y al </w:t>
      </w:r>
      <w:r w:rsidRPr="004F06F2">
        <w:rPr>
          <w:rFonts w:eastAsia="Calibri" w:cs="Times New Roman"/>
          <w:color w:val="000000"/>
          <w:sz w:val="22"/>
          <w:szCs w:val="22"/>
        </w:rPr>
        <w:t>Instituto de Seguridad y Servicios Sociales de los Trabajadores del Estado,</w:t>
      </w:r>
      <w:r w:rsidRPr="004F06F2">
        <w:rPr>
          <w:rFonts w:eastAsia="Times New Roman" w:cs="Times New Roman"/>
          <w:sz w:val="22"/>
          <w:szCs w:val="22"/>
          <w:lang w:eastAsia="es-MX"/>
        </w:rPr>
        <w:t xml:space="preserve"> de las entidades y municipios, y que al 31 de marzo de 202</w:t>
      </w:r>
      <w:r>
        <w:rPr>
          <w:rFonts w:eastAsia="Times New Roman" w:cs="Times New Roman"/>
          <w:sz w:val="22"/>
          <w:szCs w:val="22"/>
          <w:lang w:eastAsia="es-MX"/>
        </w:rPr>
        <w:t>5</w:t>
      </w:r>
      <w:r w:rsidRPr="004F06F2">
        <w:rPr>
          <w:rFonts w:eastAsia="Times New Roman" w:cs="Times New Roman"/>
          <w:sz w:val="22"/>
          <w:szCs w:val="22"/>
          <w:lang w:eastAsia="es-MX"/>
        </w:rPr>
        <w:t xml:space="preserve"> no regularizaron, además, de los adeudos de terceros comerciales por concepto de cheques cancelados de nóminas.</w:t>
      </w:r>
    </w:p>
    <w:p w:rsidR="00995380" w:rsidRPr="004F06F2" w:rsidRDefault="00995380" w:rsidP="00995380">
      <w:pPr>
        <w:widowControl w:val="0"/>
        <w:numPr>
          <w:ilvl w:val="0"/>
          <w:numId w:val="2"/>
        </w:numPr>
        <w:spacing w:before="0" w:after="0"/>
        <w:ind w:left="1418" w:hanging="425"/>
        <w:rPr>
          <w:sz w:val="22"/>
          <w:szCs w:val="22"/>
        </w:rPr>
      </w:pPr>
      <w:r w:rsidRPr="004F06F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rsidR="00995380" w:rsidRPr="004F06F2" w:rsidRDefault="00995380" w:rsidP="00995380">
      <w:pPr>
        <w:widowControl w:val="0"/>
        <w:numPr>
          <w:ilvl w:val="0"/>
          <w:numId w:val="2"/>
        </w:numPr>
        <w:kinsoku w:val="0"/>
        <w:spacing w:before="0" w:after="0"/>
        <w:ind w:left="1418" w:hanging="425"/>
        <w:contextualSpacing/>
        <w:rPr>
          <w:rFonts w:eastAsia="Times New Roman" w:cs="Times New Roman"/>
          <w:sz w:val="22"/>
          <w:szCs w:val="22"/>
          <w:lang w:eastAsia="es-MX"/>
        </w:rPr>
      </w:pPr>
      <w:r w:rsidRPr="004F06F2">
        <w:rPr>
          <w:rFonts w:eastAsia="Times New Roman" w:cs="Times New Roman"/>
          <w:sz w:val="22"/>
          <w:szCs w:val="22"/>
          <w:lang w:eastAsia="es-MX"/>
        </w:rPr>
        <w:lastRenderedPageBreak/>
        <w:t>De igual manera, se registran en esta cuenta las responsabilidades pendientes de solventar por parte de los funcionarios de la Administración Pública Estatal, responsables de la recaudación y el manejo de fondos.</w:t>
      </w:r>
    </w:p>
    <w:p w:rsidR="00995380" w:rsidRPr="004F06F2" w:rsidRDefault="00995380" w:rsidP="00995380">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Ingresos por recuperar a corto plazo:</w:t>
      </w:r>
    </w:p>
    <w:p w:rsidR="00995380" w:rsidRPr="004F06F2" w:rsidRDefault="00995380" w:rsidP="00995380">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rsidR="00995380" w:rsidRPr="004F06F2" w:rsidRDefault="00995380" w:rsidP="00995380">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Deudores por anticipos de Tesorería a corto plazo:</w:t>
      </w:r>
    </w:p>
    <w:p w:rsidR="00995380" w:rsidRPr="004F06F2" w:rsidRDefault="00995380" w:rsidP="00995380">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 xml:space="preserve">Corresponde a los fondos </w:t>
      </w:r>
      <w:proofErr w:type="spellStart"/>
      <w:r w:rsidRPr="004F06F2">
        <w:rPr>
          <w:rFonts w:ascii="GalanoGrotesque-Light" w:hAnsi="GalanoGrotesque-Light"/>
          <w:sz w:val="22"/>
          <w:szCs w:val="22"/>
          <w:lang w:val="es-MX"/>
        </w:rPr>
        <w:t>revolventes</w:t>
      </w:r>
      <w:proofErr w:type="spellEnd"/>
      <w:r w:rsidRPr="004F06F2">
        <w:rPr>
          <w:rFonts w:ascii="GalanoGrotesque-Light" w:hAnsi="GalanoGrotesque-Light"/>
          <w:sz w:val="22"/>
          <w:szCs w:val="22"/>
          <w:lang w:val="es-MX"/>
        </w:rPr>
        <w:t xml:space="preserve"> asignados a las dependencias para su operación.</w:t>
      </w:r>
    </w:p>
    <w:p w:rsidR="00995380" w:rsidRPr="004F06F2" w:rsidRDefault="00995380" w:rsidP="00995380">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Préstamos otorgados a corto plazo:</w:t>
      </w:r>
    </w:p>
    <w:p w:rsidR="00995380" w:rsidRPr="004F06F2" w:rsidRDefault="00995380" w:rsidP="00995380">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rsidR="00995380" w:rsidRPr="004F06F2" w:rsidRDefault="00995380" w:rsidP="00995380">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Otros derechos a recibir efectivo o equivalentes a corto plazo:</w:t>
      </w:r>
    </w:p>
    <w:p w:rsidR="00995380" w:rsidRPr="004F06F2" w:rsidRDefault="00995380" w:rsidP="00995380">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rsidR="00995380" w:rsidRPr="004F06F2" w:rsidRDefault="00995380" w:rsidP="00995380">
      <w:pPr>
        <w:rPr>
          <w:b/>
          <w:bCs/>
          <w:sz w:val="22"/>
          <w:szCs w:val="22"/>
          <w:lang w:val="es-MX"/>
        </w:rPr>
      </w:pPr>
    </w:p>
    <w:p w:rsidR="00995380" w:rsidRPr="004F06F2" w:rsidRDefault="00995380" w:rsidP="00995380">
      <w:pPr>
        <w:rPr>
          <w:b/>
          <w:bCs/>
          <w:sz w:val="22"/>
          <w:szCs w:val="22"/>
          <w:lang w:val="es-MX"/>
        </w:rPr>
      </w:pPr>
      <w:r w:rsidRPr="004F06F2">
        <w:rPr>
          <w:b/>
          <w:bCs/>
          <w:sz w:val="22"/>
          <w:szCs w:val="22"/>
          <w:lang w:val="es-MX"/>
        </w:rPr>
        <w:t>BIENES DISPONIBLES PARA SU TRANSFORMACIÓN O CONSUMO (INVENTARIOS)</w:t>
      </w:r>
    </w:p>
    <w:p w:rsidR="00995380" w:rsidRPr="004F06F2" w:rsidRDefault="00995380" w:rsidP="00995380">
      <w:pPr>
        <w:rPr>
          <w:b/>
          <w:bCs/>
          <w:sz w:val="22"/>
          <w:szCs w:val="22"/>
          <w:lang w:val="es-MX"/>
        </w:rPr>
      </w:pPr>
      <w:r w:rsidRPr="004F06F2">
        <w:rPr>
          <w:b/>
          <w:bCs/>
          <w:sz w:val="22"/>
          <w:szCs w:val="22"/>
          <w:lang w:val="es-MX"/>
        </w:rPr>
        <w:t>4.- BIENES DISPONIBLES PARA SU TRANSFORMACIÓN</w:t>
      </w:r>
    </w:p>
    <w:p w:rsidR="00995380" w:rsidRDefault="00995380" w:rsidP="00995380">
      <w:pPr>
        <w:rPr>
          <w:sz w:val="22"/>
          <w:szCs w:val="22"/>
          <w:lang w:val="es-MX"/>
        </w:rPr>
      </w:pPr>
      <w:r w:rsidRPr="004F06F2">
        <w:rPr>
          <w:sz w:val="22"/>
          <w:szCs w:val="22"/>
          <w:lang w:val="es-MX"/>
        </w:rPr>
        <w:t>Esta nota no aplica, en vista de que el Gobierno del Estado de Michoacán no transforma bienes.</w:t>
      </w:r>
    </w:p>
    <w:p w:rsidR="00995380" w:rsidRPr="004F06F2" w:rsidRDefault="00995380" w:rsidP="00995380">
      <w:pPr>
        <w:rPr>
          <w:sz w:val="22"/>
          <w:szCs w:val="22"/>
          <w:lang w:val="es-MX"/>
        </w:rPr>
      </w:pPr>
    </w:p>
    <w:p w:rsidR="00995380" w:rsidRPr="004F06F2" w:rsidRDefault="00995380" w:rsidP="00995380">
      <w:pPr>
        <w:rPr>
          <w:b/>
          <w:bCs/>
          <w:sz w:val="22"/>
          <w:szCs w:val="22"/>
          <w:lang w:val="es-MX"/>
        </w:rPr>
      </w:pPr>
      <w:r w:rsidRPr="004F06F2">
        <w:rPr>
          <w:b/>
          <w:bCs/>
          <w:sz w:val="22"/>
          <w:szCs w:val="22"/>
          <w:lang w:val="es-MX"/>
        </w:rPr>
        <w:t>5.- ALMACÉN</w:t>
      </w:r>
    </w:p>
    <w:p w:rsidR="00995380" w:rsidRPr="004F06F2" w:rsidRDefault="00995380" w:rsidP="00995380">
      <w:pPr>
        <w:rPr>
          <w:sz w:val="22"/>
          <w:szCs w:val="22"/>
          <w:lang w:val="es-MX"/>
        </w:rPr>
      </w:pPr>
      <w:r w:rsidRPr="004F06F2">
        <w:rPr>
          <w:sz w:val="22"/>
          <w:szCs w:val="22"/>
          <w:lang w:val="es-MX"/>
        </w:rPr>
        <w:lastRenderedPageBreak/>
        <w:t>El saldo por 486 mil 820 pesos, de la cuenta de almacenes corresponde a las existencias de materiales y útiles de oficina, materiales para el procesamiento de equipos informáticos, material eléctrico y electrónico, así como de herramientas menores.</w:t>
      </w:r>
    </w:p>
    <w:p w:rsidR="00995380" w:rsidRPr="004F06F2" w:rsidRDefault="00995380" w:rsidP="00995380">
      <w:pPr>
        <w:rPr>
          <w:sz w:val="22"/>
          <w:szCs w:val="22"/>
          <w:lang w:val="es-MX"/>
        </w:rPr>
      </w:pPr>
      <w:r w:rsidRPr="007A3099">
        <w:rPr>
          <w:noProof/>
          <w:lang w:val="es-MX" w:eastAsia="es-MX"/>
        </w:rPr>
        <w:drawing>
          <wp:inline distT="0" distB="0" distL="0" distR="0" wp14:anchorId="483ACC39" wp14:editId="12B981F9">
            <wp:extent cx="6351270" cy="681600"/>
            <wp:effectExtent l="0" t="0" r="0" b="4445"/>
            <wp:docPr id="817789824" name="Imagen 81778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270" cy="681600"/>
                    </a:xfrm>
                    <a:prstGeom prst="rect">
                      <a:avLst/>
                    </a:prstGeom>
                    <a:noFill/>
                    <a:ln>
                      <a:noFill/>
                    </a:ln>
                  </pic:spPr>
                </pic:pic>
              </a:graphicData>
            </a:graphic>
          </wp:inline>
        </w:drawing>
      </w:r>
    </w:p>
    <w:p w:rsidR="00995380" w:rsidRPr="004F06F2" w:rsidRDefault="00995380" w:rsidP="00995380">
      <w:pPr>
        <w:spacing w:before="0" w:after="0"/>
        <w:rPr>
          <w:rFonts w:eastAsia="Times New Roman" w:cs="Times New Roman"/>
          <w:b/>
          <w:color w:val="000000"/>
          <w:sz w:val="22"/>
          <w:szCs w:val="22"/>
          <w:lang w:eastAsia="es-MX"/>
        </w:rPr>
      </w:pPr>
    </w:p>
    <w:p w:rsidR="00995380" w:rsidRPr="004F06F2" w:rsidRDefault="00995380" w:rsidP="00995380">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 NO CIRCULANTE</w:t>
      </w:r>
    </w:p>
    <w:p w:rsidR="00995380" w:rsidRDefault="00995380" w:rsidP="00995380">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saldo al 31 de marzo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activo no circulan</w:t>
      </w:r>
      <w:r>
        <w:rPr>
          <w:rFonts w:eastAsia="Times New Roman" w:cs="Times New Roman"/>
          <w:color w:val="000000"/>
          <w:sz w:val="22"/>
          <w:szCs w:val="22"/>
          <w:lang w:eastAsia="es-MX"/>
        </w:rPr>
        <w:t>te, asciende a la cantidad de 84</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11</w:t>
      </w:r>
      <w:r w:rsidRPr="004F06F2">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814</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380</w:t>
      </w:r>
      <w:r w:rsidRPr="004F06F2">
        <w:rPr>
          <w:rFonts w:eastAsia="Times New Roman" w:cs="Times New Roman"/>
          <w:color w:val="000000"/>
          <w:sz w:val="22"/>
          <w:szCs w:val="22"/>
          <w:lang w:eastAsia="es-MX"/>
        </w:rPr>
        <w:t xml:space="preserve"> pesos y se integran de la siguiente manera:</w:t>
      </w:r>
    </w:p>
    <w:p w:rsidR="00995380" w:rsidRPr="004F06F2" w:rsidRDefault="00995380" w:rsidP="00995380">
      <w:pPr>
        <w:spacing w:before="0" w:after="0"/>
        <w:rPr>
          <w:rFonts w:eastAsia="Times New Roman" w:cs="Times New Roman"/>
          <w:color w:val="000000"/>
          <w:sz w:val="22"/>
          <w:szCs w:val="22"/>
          <w:lang w:eastAsia="es-MX"/>
        </w:rPr>
      </w:pPr>
      <w:r w:rsidRPr="00842164">
        <w:rPr>
          <w:noProof/>
          <w:lang w:val="es-MX" w:eastAsia="es-MX"/>
        </w:rPr>
        <w:drawing>
          <wp:inline distT="0" distB="0" distL="0" distR="0" wp14:anchorId="71BBEA12" wp14:editId="510FB2B8">
            <wp:extent cx="6351270" cy="1013363"/>
            <wp:effectExtent l="0" t="0" r="0" b="0"/>
            <wp:docPr id="817789836" name="Imagen 8177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1013363"/>
                    </a:xfrm>
                    <a:prstGeom prst="rect">
                      <a:avLst/>
                    </a:prstGeom>
                    <a:noFill/>
                    <a:ln>
                      <a:noFill/>
                    </a:ln>
                  </pic:spPr>
                </pic:pic>
              </a:graphicData>
            </a:graphic>
          </wp:inline>
        </w:drawing>
      </w:r>
    </w:p>
    <w:p w:rsidR="00995380" w:rsidRPr="004F06F2" w:rsidRDefault="00995380" w:rsidP="00995380">
      <w:pPr>
        <w:spacing w:before="0" w:after="0"/>
        <w:rPr>
          <w:rFonts w:eastAsia="Times New Roman" w:cs="Times New Roman"/>
          <w:b/>
          <w:bCs/>
          <w:color w:val="000000"/>
          <w:sz w:val="22"/>
          <w:szCs w:val="22"/>
          <w:lang w:eastAsia="es-MX"/>
        </w:rPr>
      </w:pPr>
    </w:p>
    <w:p w:rsidR="00995380" w:rsidRPr="004F06F2" w:rsidRDefault="00995380" w:rsidP="00995380">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INVERSIONES FINANCIERAS</w:t>
      </w:r>
    </w:p>
    <w:p w:rsidR="00995380" w:rsidRPr="004F06F2" w:rsidRDefault="00995380" w:rsidP="00995380">
      <w:pPr>
        <w:spacing w:before="0" w:after="0"/>
        <w:rPr>
          <w:rFonts w:eastAsia="Times New Roman" w:cs="Times New Roman"/>
          <w:b/>
          <w:bCs/>
          <w:color w:val="000000"/>
          <w:sz w:val="22"/>
          <w:szCs w:val="22"/>
          <w:lang w:eastAsia="es-MX"/>
        </w:rPr>
      </w:pPr>
      <w:r w:rsidRPr="00017AC3">
        <w:rPr>
          <w:rFonts w:eastAsia="Times New Roman" w:cs="Times New Roman"/>
          <w:b/>
          <w:bCs/>
          <w:color w:val="000000"/>
          <w:sz w:val="22"/>
          <w:szCs w:val="22"/>
          <w:lang w:eastAsia="es-MX"/>
        </w:rPr>
        <w:t>6. INVERSIONES FINANCIERAS, FIDEICOMISOS, MANDATOS Y ANÁLOGOS</w:t>
      </w: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De dichos montos, las inversiones Financieras a largo plazo se integran por </w:t>
      </w:r>
      <w:r>
        <w:rPr>
          <w:rFonts w:eastAsia="Times New Roman" w:cs="Times New Roman"/>
          <w:color w:val="000000"/>
          <w:sz w:val="22"/>
          <w:szCs w:val="22"/>
          <w:lang w:eastAsia="es-MX"/>
        </w:rPr>
        <w:t>28</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320</w:t>
      </w:r>
      <w:r w:rsidRPr="004F06F2">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23</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122</w:t>
      </w:r>
      <w:r w:rsidRPr="004F06F2">
        <w:rPr>
          <w:rFonts w:eastAsia="Times New Roman" w:cs="Times New Roman"/>
          <w:color w:val="000000"/>
          <w:sz w:val="22"/>
          <w:szCs w:val="22"/>
          <w:lang w:eastAsia="es-MX"/>
        </w:rPr>
        <w:t xml:space="preserve"> pesos que se muestran como sigue:</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842164">
        <w:rPr>
          <w:noProof/>
          <w:lang w:val="es-MX" w:eastAsia="es-MX"/>
        </w:rPr>
        <w:drawing>
          <wp:inline distT="0" distB="0" distL="0" distR="0" wp14:anchorId="6248122F" wp14:editId="01EE9102">
            <wp:extent cx="6351270" cy="464727"/>
            <wp:effectExtent l="0" t="0" r="0" b="0"/>
            <wp:docPr id="817789839" name="Imagen 81778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r w:rsidRPr="004F06F2">
        <w:rPr>
          <w:rFonts w:eastAsia="Times New Roman" w:cs="Times New Roman"/>
          <w:color w:val="000000"/>
          <w:sz w:val="22"/>
          <w:szCs w:val="22"/>
          <w:lang w:eastAsia="es-MX"/>
        </w:rPr>
        <w:t xml:space="preserve"> </w:t>
      </w:r>
    </w:p>
    <w:p w:rsidR="00995380" w:rsidRPr="004F06F2" w:rsidRDefault="00995380" w:rsidP="00995380">
      <w:pPr>
        <w:spacing w:before="0" w:after="0"/>
        <w:rPr>
          <w:rFonts w:eastAsia="Times New Roman" w:cs="Times New Roman"/>
          <w:color w:val="000000"/>
          <w:sz w:val="22"/>
          <w:szCs w:val="22"/>
          <w:lang w:eastAsia="es-MX"/>
        </w:rPr>
      </w:pPr>
    </w:p>
    <w:p w:rsidR="00995380" w:rsidRDefault="00995380" w:rsidP="00995380">
      <w:pPr>
        <w:spacing w:before="0" w:after="0"/>
        <w:rPr>
          <w:noProof/>
          <w:lang w:val="es-MX" w:eastAsia="es-MX"/>
        </w:rPr>
      </w:pPr>
      <w:r w:rsidRPr="004F06F2">
        <w:rPr>
          <w:rFonts w:eastAsia="Times New Roman" w:cs="Times New Roman"/>
          <w:color w:val="000000"/>
          <w:sz w:val="22"/>
          <w:szCs w:val="22"/>
          <w:lang w:eastAsia="es-MX"/>
        </w:rPr>
        <w:t>De la cuenta de Fideicomisos, mandatos y análogos</w:t>
      </w:r>
      <w:r>
        <w:rPr>
          <w:rFonts w:eastAsia="Times New Roman" w:cs="Times New Roman"/>
          <w:color w:val="000000"/>
          <w:sz w:val="22"/>
          <w:szCs w:val="22"/>
          <w:lang w:eastAsia="es-MX"/>
        </w:rPr>
        <w:t>, por 9</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186</w:t>
      </w:r>
      <w:r w:rsidRPr="004F06F2">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116</w:t>
      </w:r>
      <w:r w:rsidRPr="004F06F2">
        <w:rPr>
          <w:rFonts w:eastAsia="Times New Roman" w:cs="Times New Roman"/>
          <w:color w:val="000000"/>
          <w:sz w:val="22"/>
          <w:szCs w:val="22"/>
          <w:lang w:eastAsia="es-MX"/>
        </w:rPr>
        <w:t xml:space="preserve"> mil 7</w:t>
      </w:r>
      <w:r>
        <w:rPr>
          <w:rFonts w:eastAsia="Times New Roman" w:cs="Times New Roman"/>
          <w:color w:val="000000"/>
          <w:sz w:val="22"/>
          <w:szCs w:val="22"/>
          <w:lang w:eastAsia="es-MX"/>
        </w:rPr>
        <w:t>97</w:t>
      </w:r>
      <w:r w:rsidRPr="004F06F2">
        <w:rPr>
          <w:rFonts w:eastAsia="Times New Roman" w:cs="Times New Roman"/>
          <w:color w:val="000000"/>
          <w:sz w:val="22"/>
          <w:szCs w:val="22"/>
          <w:lang w:eastAsia="es-MX"/>
        </w:rPr>
        <w:t xml:space="preserve"> pesos, de los cuales </w:t>
      </w:r>
      <w:r>
        <w:rPr>
          <w:rFonts w:eastAsia="Times New Roman" w:cs="Times New Roman"/>
          <w:color w:val="000000"/>
          <w:sz w:val="22"/>
          <w:szCs w:val="22"/>
          <w:lang w:eastAsia="es-MX"/>
        </w:rPr>
        <w:t>814</w:t>
      </w:r>
      <w:r w:rsidRPr="00017AC3">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308</w:t>
      </w:r>
      <w:r w:rsidRPr="00017AC3">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466</w:t>
      </w:r>
      <w:r w:rsidRPr="00017AC3">
        <w:rPr>
          <w:rFonts w:eastAsia="Times New Roman" w:cs="Times New Roman"/>
          <w:color w:val="000000"/>
          <w:sz w:val="22"/>
          <w:szCs w:val="22"/>
          <w:lang w:eastAsia="es-MX"/>
        </w:rPr>
        <w:t xml:space="preserve"> pesos corresponde a fideicomisos financieros destinados a garantizar el pago de la deuda pública</w:t>
      </w:r>
      <w:r w:rsidRPr="004F06F2">
        <w:rPr>
          <w:rFonts w:eastAsia="Times New Roman" w:cs="Times New Roman"/>
          <w:color w:val="000000"/>
          <w:sz w:val="22"/>
          <w:szCs w:val="22"/>
          <w:lang w:eastAsia="es-MX"/>
        </w:rPr>
        <w:t xml:space="preserve"> y </w:t>
      </w:r>
      <w:r>
        <w:rPr>
          <w:noProof/>
          <w:lang w:val="es-MX" w:eastAsia="es-MX"/>
        </w:rPr>
        <w:t>8</w:t>
      </w:r>
      <w:r w:rsidRPr="004F06F2">
        <w:rPr>
          <w:noProof/>
          <w:lang w:val="es-MX" w:eastAsia="es-MX"/>
        </w:rPr>
        <w:t xml:space="preserve"> mil </w:t>
      </w:r>
      <w:r>
        <w:rPr>
          <w:noProof/>
          <w:lang w:val="es-MX" w:eastAsia="es-MX"/>
        </w:rPr>
        <w:t>371</w:t>
      </w:r>
      <w:r w:rsidRPr="004F06F2">
        <w:rPr>
          <w:noProof/>
          <w:lang w:val="es-MX" w:eastAsia="es-MX"/>
        </w:rPr>
        <w:t xml:space="preserve"> millones </w:t>
      </w:r>
      <w:r>
        <w:rPr>
          <w:noProof/>
          <w:lang w:val="es-MX" w:eastAsia="es-MX"/>
        </w:rPr>
        <w:t>808</w:t>
      </w:r>
      <w:r w:rsidRPr="004F06F2">
        <w:rPr>
          <w:noProof/>
          <w:lang w:val="es-MX" w:eastAsia="es-MX"/>
        </w:rPr>
        <w:t xml:space="preserve"> mil </w:t>
      </w:r>
      <w:r>
        <w:rPr>
          <w:noProof/>
          <w:lang w:val="es-MX" w:eastAsia="es-MX"/>
        </w:rPr>
        <w:t>331</w:t>
      </w:r>
      <w:r w:rsidRPr="004F06F2">
        <w:rPr>
          <w:noProof/>
          <w:lang w:val="es-MX" w:eastAsia="es-MX"/>
        </w:rPr>
        <w:t xml:space="preserve"> pesos corresponden a fideicomisos no financieros destinados a objetivos específicos, los cuales se detallan en el cuadro siguiente:</w:t>
      </w:r>
    </w:p>
    <w:p w:rsidR="00995380" w:rsidRDefault="00995380" w:rsidP="00995380">
      <w:pPr>
        <w:spacing w:before="0" w:after="0"/>
        <w:rPr>
          <w:noProof/>
          <w:lang w:val="es-MX" w:eastAsia="es-MX"/>
        </w:rPr>
      </w:pPr>
    </w:p>
    <w:p w:rsidR="00995380" w:rsidRDefault="00995380" w:rsidP="00995380">
      <w:pPr>
        <w:spacing w:before="0" w:after="0"/>
        <w:rPr>
          <w:noProof/>
          <w:lang w:val="es-MX" w:eastAsia="es-MX"/>
        </w:rPr>
      </w:pPr>
      <w:r w:rsidRPr="00FB251F">
        <w:rPr>
          <w:noProof/>
          <w:lang w:val="es-MX" w:eastAsia="es-MX"/>
        </w:rPr>
        <w:lastRenderedPageBreak/>
        <w:drawing>
          <wp:inline distT="0" distB="0" distL="0" distR="0" wp14:anchorId="383DBDD6" wp14:editId="33A898DB">
            <wp:extent cx="6150610" cy="5158740"/>
            <wp:effectExtent l="0" t="0" r="254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0610" cy="5158740"/>
                    </a:xfrm>
                    <a:prstGeom prst="rect">
                      <a:avLst/>
                    </a:prstGeom>
                    <a:noFill/>
                    <a:ln>
                      <a:noFill/>
                    </a:ln>
                  </pic:spPr>
                </pic:pic>
              </a:graphicData>
            </a:graphic>
          </wp:inline>
        </w:drawing>
      </w:r>
    </w:p>
    <w:p w:rsidR="00995380" w:rsidRDefault="00995380" w:rsidP="00995380">
      <w:pPr>
        <w:spacing w:before="0" w:after="0"/>
        <w:rPr>
          <w:noProof/>
          <w:lang w:val="es-MX" w:eastAsia="es-MX"/>
        </w:rPr>
      </w:pPr>
    </w:p>
    <w:p w:rsidR="00995380" w:rsidRPr="004F06F2" w:rsidRDefault="00995380" w:rsidP="00995380">
      <w:pPr>
        <w:spacing w:before="0" w:after="0"/>
        <w:rPr>
          <w:noProof/>
          <w:lang w:val="es-MX" w:eastAsia="es-MX"/>
        </w:rPr>
      </w:pPr>
    </w:p>
    <w:p w:rsidR="00995380" w:rsidRPr="00F91796" w:rsidRDefault="00995380" w:rsidP="00995380">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w:t>
      </w:r>
      <w:r>
        <w:rPr>
          <w:rFonts w:eastAsia="Times New Roman" w:cs="Times New Roman"/>
          <w:bCs/>
          <w:color w:val="000000"/>
          <w:sz w:val="22"/>
          <w:szCs w:val="22"/>
          <w:lang w:eastAsia="es-MX"/>
        </w:rPr>
        <w:t>decremento</w:t>
      </w:r>
      <w:r w:rsidRPr="004F06F2">
        <w:rPr>
          <w:rFonts w:eastAsia="Times New Roman" w:cs="Times New Roman"/>
          <w:bCs/>
          <w:color w:val="000000"/>
          <w:sz w:val="22"/>
          <w:szCs w:val="22"/>
          <w:lang w:eastAsia="es-MX"/>
        </w:rPr>
        <w:t xml:space="preserve"> de </w:t>
      </w:r>
      <w:r>
        <w:rPr>
          <w:rFonts w:eastAsia="Times New Roman" w:cs="Times New Roman"/>
          <w:bCs/>
          <w:color w:val="000000"/>
          <w:sz w:val="22"/>
          <w:szCs w:val="22"/>
          <w:lang w:eastAsia="es-MX"/>
        </w:rPr>
        <w:t>1</w:t>
      </w:r>
      <w:r w:rsidRPr="004F06F2">
        <w:rPr>
          <w:rFonts w:eastAsia="Times New Roman" w:cs="Times New Roman"/>
          <w:bCs/>
          <w:color w:val="000000"/>
          <w:sz w:val="22"/>
          <w:szCs w:val="22"/>
          <w:lang w:eastAsia="es-MX"/>
        </w:rPr>
        <w:t xml:space="preserve"> mil </w:t>
      </w:r>
      <w:r>
        <w:rPr>
          <w:rFonts w:eastAsia="Times New Roman" w:cs="Times New Roman"/>
          <w:bCs/>
          <w:color w:val="000000"/>
          <w:sz w:val="22"/>
          <w:szCs w:val="22"/>
          <w:lang w:eastAsia="es-MX"/>
        </w:rPr>
        <w:t>626</w:t>
      </w:r>
      <w:r w:rsidRPr="004F06F2">
        <w:rPr>
          <w:rFonts w:eastAsia="Times New Roman" w:cs="Times New Roman"/>
          <w:bCs/>
          <w:color w:val="000000"/>
          <w:sz w:val="22"/>
          <w:szCs w:val="22"/>
          <w:lang w:eastAsia="es-MX"/>
        </w:rPr>
        <w:t xml:space="preserve"> millones </w:t>
      </w:r>
      <w:r>
        <w:rPr>
          <w:rFonts w:eastAsia="Times New Roman" w:cs="Times New Roman"/>
          <w:bCs/>
          <w:color w:val="000000"/>
          <w:sz w:val="22"/>
          <w:szCs w:val="22"/>
          <w:lang w:eastAsia="es-MX"/>
        </w:rPr>
        <w:t>916</w:t>
      </w:r>
      <w:r w:rsidRPr="004F06F2">
        <w:rPr>
          <w:rFonts w:eastAsia="Times New Roman" w:cs="Times New Roman"/>
          <w:bCs/>
          <w:color w:val="000000"/>
          <w:sz w:val="22"/>
          <w:szCs w:val="22"/>
          <w:lang w:eastAsia="es-MX"/>
        </w:rPr>
        <w:t xml:space="preserve"> mil </w:t>
      </w:r>
      <w:r>
        <w:rPr>
          <w:rFonts w:eastAsia="Times New Roman" w:cs="Times New Roman"/>
          <w:bCs/>
          <w:color w:val="000000"/>
          <w:sz w:val="22"/>
          <w:szCs w:val="22"/>
          <w:lang w:eastAsia="es-MX"/>
        </w:rPr>
        <w:t>819</w:t>
      </w:r>
      <w:r w:rsidRPr="004F06F2">
        <w:rPr>
          <w:rFonts w:eastAsia="Times New Roman" w:cs="Times New Roman"/>
          <w:bCs/>
          <w:color w:val="000000"/>
          <w:sz w:val="22"/>
          <w:szCs w:val="22"/>
          <w:lang w:eastAsia="es-MX"/>
        </w:rPr>
        <w:t xml:space="preserve"> pesos</w:t>
      </w:r>
      <w:r>
        <w:rPr>
          <w:rFonts w:eastAsia="Times New Roman" w:cs="Times New Roman"/>
          <w:bCs/>
          <w:color w:val="000000"/>
          <w:sz w:val="22"/>
          <w:szCs w:val="22"/>
          <w:lang w:eastAsia="es-MX"/>
        </w:rPr>
        <w:t xml:space="preserve"> con respecto a las cifras del periodo de comparación</w:t>
      </w:r>
      <w:r w:rsidRPr="004F06F2">
        <w:rPr>
          <w:rFonts w:eastAsia="Times New Roman" w:cs="Times New Roman"/>
          <w:bCs/>
          <w:color w:val="000000"/>
          <w:sz w:val="22"/>
          <w:szCs w:val="22"/>
          <w:lang w:eastAsia="es-MX"/>
        </w:rPr>
        <w:t xml:space="preserve">, correspondientes a la actualización de los saldos en los estados de cuenta, en los casos de fideicomisos financieros y en los Estados de Situación Financiera, correspondientes a la Hacienda Pública/Patrimonio en los casos de los fideicomisos no financieros, </w:t>
      </w:r>
      <w:r w:rsidRPr="004F06F2">
        <w:rPr>
          <w:rFonts w:eastAsia="Times New Roman" w:cs="Times New Roman"/>
          <w:bCs/>
          <w:color w:val="000000"/>
          <w:sz w:val="22"/>
          <w:szCs w:val="22"/>
          <w:lang w:eastAsia="es-MX"/>
        </w:rPr>
        <w:lastRenderedPageBreak/>
        <w:t xml:space="preserve">lo que representa un </w:t>
      </w:r>
      <w:r>
        <w:rPr>
          <w:rFonts w:eastAsia="Times New Roman" w:cs="Times New Roman"/>
          <w:bCs/>
          <w:color w:val="000000"/>
          <w:sz w:val="22"/>
          <w:szCs w:val="22"/>
          <w:lang w:eastAsia="es-MX"/>
        </w:rPr>
        <w:t>5</w:t>
      </w:r>
      <w:r w:rsidRPr="004F06F2">
        <w:rPr>
          <w:rFonts w:eastAsia="Times New Roman" w:cs="Times New Roman"/>
          <w:bCs/>
          <w:color w:val="000000"/>
          <w:sz w:val="22"/>
          <w:szCs w:val="22"/>
          <w:lang w:eastAsia="es-MX"/>
        </w:rPr>
        <w:t>% de variación total, respecto del saldo al 31 de marzo de 202</w:t>
      </w:r>
      <w:r>
        <w:rPr>
          <w:rFonts w:eastAsia="Times New Roman" w:cs="Times New Roman"/>
          <w:bCs/>
          <w:color w:val="000000"/>
          <w:sz w:val="22"/>
          <w:szCs w:val="22"/>
          <w:lang w:eastAsia="es-MX"/>
        </w:rPr>
        <w:t>4</w:t>
      </w:r>
      <w:r w:rsidRPr="004F06F2">
        <w:rPr>
          <w:rFonts w:eastAsia="Times New Roman" w:cs="Times New Roman"/>
          <w:bCs/>
          <w:color w:val="000000"/>
          <w:sz w:val="22"/>
          <w:szCs w:val="22"/>
          <w:lang w:eastAsia="es-MX"/>
        </w:rPr>
        <w:t>.</w:t>
      </w:r>
    </w:p>
    <w:p w:rsidR="00995380" w:rsidRPr="004F06F2" w:rsidRDefault="00995380" w:rsidP="00995380">
      <w:pPr>
        <w:spacing w:before="120" w:after="120"/>
        <w:rPr>
          <w:rFonts w:eastAsia="Calibri" w:cs="Times New Roman"/>
          <w:b/>
          <w:sz w:val="22"/>
          <w:szCs w:val="22"/>
        </w:rPr>
      </w:pPr>
      <w:r w:rsidRPr="004F06F2">
        <w:rPr>
          <w:rFonts w:eastAsia="Calibri" w:cs="Times New Roman"/>
          <w:b/>
          <w:sz w:val="22"/>
          <w:szCs w:val="22"/>
        </w:rPr>
        <w:t>7. SALDOS DE LAS PARTICIPACIONES Y APORTACIONES DE CAPITAL</w:t>
      </w:r>
    </w:p>
    <w:p w:rsidR="00995380" w:rsidRPr="004F06F2" w:rsidRDefault="00995380" w:rsidP="00995380">
      <w:pPr>
        <w:spacing w:before="120" w:after="120"/>
        <w:rPr>
          <w:rFonts w:eastAsia="Calibri" w:cs="Times New Roman"/>
          <w:bCs/>
          <w:sz w:val="22"/>
          <w:szCs w:val="22"/>
        </w:rPr>
      </w:pPr>
      <w:r w:rsidRPr="004F06F2">
        <w:rPr>
          <w:rFonts w:eastAsia="Calibri" w:cs="Times New Roman"/>
          <w:bCs/>
          <w:sz w:val="22"/>
          <w:szCs w:val="22"/>
        </w:rPr>
        <w:t>Se informa la integración del saldo al 31 de marzo de 202</w:t>
      </w:r>
      <w:r>
        <w:rPr>
          <w:rFonts w:eastAsia="Calibri" w:cs="Times New Roman"/>
          <w:bCs/>
          <w:sz w:val="22"/>
          <w:szCs w:val="22"/>
        </w:rPr>
        <w:t>5</w:t>
      </w:r>
      <w:r w:rsidRPr="004F06F2">
        <w:rPr>
          <w:rFonts w:eastAsia="Calibri" w:cs="Times New Roman"/>
          <w:bCs/>
          <w:sz w:val="22"/>
          <w:szCs w:val="22"/>
        </w:rPr>
        <w:t xml:space="preserve"> de la cuenta de Participaciones y Aportaciones de Capital, por </w:t>
      </w:r>
      <w:r>
        <w:rPr>
          <w:rFonts w:eastAsia="Calibri" w:cs="Times New Roman"/>
          <w:bCs/>
          <w:sz w:val="22"/>
          <w:szCs w:val="22"/>
        </w:rPr>
        <w:t>19</w:t>
      </w:r>
      <w:r w:rsidRPr="004F06F2">
        <w:rPr>
          <w:rFonts w:eastAsia="Calibri" w:cs="Times New Roman"/>
          <w:bCs/>
          <w:sz w:val="22"/>
          <w:szCs w:val="22"/>
        </w:rPr>
        <w:t xml:space="preserve"> mil </w:t>
      </w:r>
      <w:r>
        <w:rPr>
          <w:rFonts w:eastAsia="Calibri" w:cs="Times New Roman"/>
          <w:bCs/>
          <w:sz w:val="22"/>
          <w:szCs w:val="22"/>
        </w:rPr>
        <w:t>133</w:t>
      </w:r>
      <w:r w:rsidRPr="004F06F2">
        <w:rPr>
          <w:rFonts w:eastAsia="Calibri" w:cs="Times New Roman"/>
          <w:bCs/>
          <w:sz w:val="22"/>
          <w:szCs w:val="22"/>
        </w:rPr>
        <w:t xml:space="preserve"> millones </w:t>
      </w:r>
      <w:r>
        <w:rPr>
          <w:rFonts w:eastAsia="Calibri" w:cs="Times New Roman"/>
          <w:bCs/>
          <w:sz w:val="22"/>
          <w:szCs w:val="22"/>
        </w:rPr>
        <w:t>906</w:t>
      </w:r>
      <w:r w:rsidRPr="004F06F2">
        <w:rPr>
          <w:rFonts w:eastAsia="Calibri" w:cs="Times New Roman"/>
          <w:bCs/>
          <w:sz w:val="22"/>
          <w:szCs w:val="22"/>
        </w:rPr>
        <w:t xml:space="preserve"> mil </w:t>
      </w:r>
      <w:r>
        <w:rPr>
          <w:rFonts w:eastAsia="Calibri" w:cs="Times New Roman"/>
          <w:bCs/>
          <w:sz w:val="22"/>
          <w:szCs w:val="22"/>
        </w:rPr>
        <w:t>32</w:t>
      </w:r>
      <w:r w:rsidRPr="004F06F2">
        <w:rPr>
          <w:rFonts w:eastAsia="Calibri" w:cs="Times New Roman"/>
          <w:bCs/>
          <w:sz w:val="22"/>
          <w:szCs w:val="22"/>
        </w:rPr>
        <w:t xml:space="preserve">6 pesos. </w:t>
      </w:r>
    </w:p>
    <w:p w:rsidR="00995380" w:rsidRPr="004F06F2" w:rsidRDefault="00995380" w:rsidP="00995380">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El respaldo correspondiente a dicho saldo consiste en las cifras de los Estados Financieros que las Entidades Paraestatales presentan a esta Secretaría de Finanzas y está actualizado de conformidad con la oportunidad en que estas los presentan.</w:t>
      </w:r>
    </w:p>
    <w:p w:rsidR="00995380" w:rsidRPr="004F06F2" w:rsidRDefault="00995380" w:rsidP="00995380">
      <w:pPr>
        <w:spacing w:before="0" w:after="0"/>
        <w:rPr>
          <w:rFonts w:eastAsia="Times New Roman" w:cs="Times New Roman"/>
          <w:bCs/>
          <w:color w:val="000000"/>
          <w:sz w:val="22"/>
          <w:szCs w:val="22"/>
          <w:lang w:eastAsia="es-MX"/>
        </w:rPr>
      </w:pPr>
    </w:p>
    <w:p w:rsidR="00995380" w:rsidRDefault="00995380" w:rsidP="00995380">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Las aportaciones en las entidades paraestatales se integran como sigue:</w:t>
      </w:r>
    </w:p>
    <w:p w:rsidR="00995380" w:rsidRPr="00F0565B" w:rsidRDefault="00995380" w:rsidP="00995380">
      <w:pPr>
        <w:spacing w:before="0" w:after="0"/>
        <w:rPr>
          <w:rFonts w:eastAsia="Times New Roman" w:cs="Times New Roman"/>
          <w:bCs/>
          <w:color w:val="000000"/>
          <w:sz w:val="22"/>
          <w:szCs w:val="22"/>
          <w:lang w:eastAsia="es-MX"/>
        </w:rPr>
      </w:pPr>
      <w:r w:rsidRPr="00F0565B">
        <w:rPr>
          <w:noProof/>
          <w:lang w:val="es-MX" w:eastAsia="es-MX"/>
        </w:rPr>
        <w:lastRenderedPageBreak/>
        <w:drawing>
          <wp:inline distT="0" distB="0" distL="0" distR="0" wp14:anchorId="65FCD96E" wp14:editId="302E42EE">
            <wp:extent cx="6334125" cy="8286112"/>
            <wp:effectExtent l="0" t="0" r="0" b="1270"/>
            <wp:docPr id="817789842" name="Imagen 8177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8836" cy="8331520"/>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lastRenderedPageBreak/>
        <w:t>BIENES MUEBLES, INMUEBLES E INTA</w:t>
      </w:r>
      <w:r>
        <w:rPr>
          <w:rFonts w:eastAsia="Calibri" w:cs="Times New Roman"/>
          <w:b/>
          <w:sz w:val="22"/>
          <w:szCs w:val="22"/>
        </w:rPr>
        <w:t>N</w:t>
      </w:r>
      <w:r w:rsidRPr="004F06F2">
        <w:rPr>
          <w:rFonts w:eastAsia="Calibri" w:cs="Times New Roman"/>
          <w:b/>
          <w:sz w:val="22"/>
          <w:szCs w:val="22"/>
        </w:rPr>
        <w:t>GIBLES</w:t>
      </w:r>
      <w:r>
        <w:rPr>
          <w:rFonts w:eastAsia="Calibri" w:cs="Times New Roman"/>
          <w:b/>
          <w:sz w:val="22"/>
          <w:szCs w:val="22"/>
        </w:rPr>
        <w:t>.</w:t>
      </w:r>
    </w:p>
    <w:p w:rsidR="00995380" w:rsidRPr="004F06F2" w:rsidRDefault="00995380" w:rsidP="00995380">
      <w:pPr>
        <w:spacing w:before="0" w:after="0"/>
        <w:rPr>
          <w:rFonts w:ascii="Arial" w:eastAsia="Times New Roman" w:hAnsi="Arial" w:cs="Arial"/>
          <w:b/>
          <w:bCs/>
          <w:color w:val="000000"/>
          <w:sz w:val="22"/>
          <w:szCs w:val="22"/>
          <w:lang w:eastAsia="es-MX"/>
        </w:rPr>
      </w:pPr>
      <w:r w:rsidRPr="004F06F2">
        <w:rPr>
          <w:rFonts w:eastAsia="Calibri" w:cs="Times New Roman"/>
          <w:b/>
          <w:sz w:val="22"/>
          <w:szCs w:val="22"/>
        </w:rPr>
        <w:t>8.- BIENES MUEBLES E INMUEBLES</w:t>
      </w:r>
      <w:r>
        <w:rPr>
          <w:rFonts w:eastAsia="Calibri" w:cs="Times New Roman"/>
          <w:b/>
          <w:sz w:val="22"/>
          <w:szCs w:val="22"/>
        </w:rPr>
        <w:t>.</w:t>
      </w:r>
      <w:r w:rsidRPr="004F06F2">
        <w:rPr>
          <w:rFonts w:ascii="Arial" w:hAnsi="Arial" w:cs="Arial"/>
          <w:b/>
          <w:color w:val="000000"/>
          <w:sz w:val="22"/>
          <w:szCs w:val="22"/>
        </w:rPr>
        <w:t xml:space="preserve"> </w:t>
      </w:r>
      <w:r w:rsidRPr="004F06F2">
        <w:rPr>
          <w:rFonts w:ascii="Arial" w:eastAsia="Times New Roman" w:hAnsi="Arial" w:cs="Arial"/>
          <w:b/>
          <w:bCs/>
          <w:color w:val="000000"/>
          <w:sz w:val="22"/>
          <w:szCs w:val="22"/>
          <w:lang w:eastAsia="es-MX"/>
        </w:rPr>
        <w:t xml:space="preserve">  </w:t>
      </w: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De conformidad con lo dispuesto en </w:t>
      </w:r>
      <w:r>
        <w:rPr>
          <w:rFonts w:eastAsia="Calibri" w:cs="Times New Roman"/>
          <w:sz w:val="22"/>
          <w:szCs w:val="22"/>
        </w:rPr>
        <w:t>el</w:t>
      </w:r>
      <w:r w:rsidRPr="004F06F2">
        <w:rPr>
          <w:rFonts w:eastAsia="Calibri" w:cs="Times New Roman"/>
          <w:sz w:val="22"/>
          <w:szCs w:val="22"/>
        </w:rPr>
        <w:t xml:space="preserve"> acuerdo donde se establecen las “Reglas de Registro y Val</w:t>
      </w:r>
      <w:r>
        <w:rPr>
          <w:rFonts w:eastAsia="Calibri" w:cs="Times New Roman"/>
          <w:sz w:val="22"/>
          <w:szCs w:val="22"/>
        </w:rPr>
        <w:t>uación</w:t>
      </w:r>
      <w:r w:rsidRPr="004F06F2">
        <w:rPr>
          <w:rFonts w:eastAsia="Calibri" w:cs="Times New Roman"/>
          <w:sz w:val="22"/>
          <w:szCs w:val="22"/>
        </w:rPr>
        <w:t xml:space="preserve"> del Patrimonio”, publicado en el Diario Oficial de la Federación del </w:t>
      </w:r>
      <w:r>
        <w:rPr>
          <w:rFonts w:eastAsia="Calibri" w:cs="Times New Roman"/>
          <w:sz w:val="22"/>
          <w:szCs w:val="22"/>
        </w:rPr>
        <w:t>11</w:t>
      </w:r>
      <w:r w:rsidRPr="004F06F2">
        <w:rPr>
          <w:rFonts w:eastAsia="Calibri" w:cs="Times New Roman"/>
          <w:sz w:val="22"/>
          <w:szCs w:val="22"/>
        </w:rPr>
        <w:t xml:space="preserve"> de </w:t>
      </w:r>
      <w:r>
        <w:rPr>
          <w:rFonts w:eastAsia="Calibri" w:cs="Times New Roman"/>
          <w:sz w:val="22"/>
          <w:szCs w:val="22"/>
        </w:rPr>
        <w:t>diciembre</w:t>
      </w:r>
      <w:r w:rsidRPr="004F06F2">
        <w:rPr>
          <w:rFonts w:eastAsia="Calibri" w:cs="Times New Roman"/>
          <w:sz w:val="22"/>
          <w:szCs w:val="22"/>
        </w:rPr>
        <w:t xml:space="preserve"> de 20</w:t>
      </w:r>
      <w:r>
        <w:rPr>
          <w:rFonts w:eastAsia="Calibri" w:cs="Times New Roman"/>
          <w:sz w:val="22"/>
          <w:szCs w:val="22"/>
        </w:rPr>
        <w:t>23</w:t>
      </w:r>
      <w:r w:rsidRPr="004F06F2">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13 de diciembre de 2011, las cifras que se presentan ascienden a un importe de </w:t>
      </w:r>
      <w:r>
        <w:rPr>
          <w:rFonts w:eastAsia="Calibri" w:cs="Times New Roman"/>
          <w:sz w:val="22"/>
          <w:szCs w:val="22"/>
        </w:rPr>
        <w:t>52</w:t>
      </w:r>
      <w:r w:rsidRPr="004F06F2">
        <w:rPr>
          <w:rFonts w:eastAsia="Calibri" w:cs="Times New Roman"/>
          <w:sz w:val="22"/>
          <w:szCs w:val="22"/>
        </w:rPr>
        <w:t xml:space="preserve"> mil </w:t>
      </w:r>
      <w:r>
        <w:rPr>
          <w:rFonts w:eastAsia="Calibri" w:cs="Times New Roman"/>
          <w:sz w:val="22"/>
          <w:szCs w:val="22"/>
        </w:rPr>
        <w:t>317</w:t>
      </w:r>
      <w:r w:rsidRPr="004F06F2">
        <w:rPr>
          <w:rFonts w:eastAsia="Calibri" w:cs="Times New Roman"/>
          <w:sz w:val="22"/>
          <w:szCs w:val="22"/>
        </w:rPr>
        <w:t xml:space="preserve"> millones </w:t>
      </w:r>
      <w:r>
        <w:rPr>
          <w:rFonts w:eastAsia="Calibri" w:cs="Times New Roman"/>
          <w:sz w:val="22"/>
          <w:szCs w:val="22"/>
        </w:rPr>
        <w:t>163</w:t>
      </w:r>
      <w:r w:rsidRPr="004F06F2">
        <w:rPr>
          <w:rFonts w:eastAsia="Calibri" w:cs="Times New Roman"/>
          <w:sz w:val="22"/>
          <w:szCs w:val="22"/>
        </w:rPr>
        <w:t xml:space="preserve"> mil </w:t>
      </w:r>
      <w:r>
        <w:rPr>
          <w:rFonts w:eastAsia="Calibri" w:cs="Times New Roman"/>
          <w:sz w:val="22"/>
          <w:szCs w:val="22"/>
        </w:rPr>
        <w:t>496</w:t>
      </w:r>
      <w:r w:rsidRPr="004F06F2">
        <w:rPr>
          <w:rFonts w:eastAsia="Calibri" w:cs="Times New Roman"/>
          <w:sz w:val="22"/>
          <w:szCs w:val="22"/>
        </w:rPr>
        <w:t xml:space="preserve"> pesos. </w:t>
      </w:r>
    </w:p>
    <w:p w:rsidR="00995380" w:rsidRDefault="00995380" w:rsidP="00995380">
      <w:pPr>
        <w:spacing w:before="0" w:after="0"/>
        <w:rPr>
          <w:rFonts w:eastAsia="Calibri" w:cs="Times New Roman"/>
          <w:sz w:val="22"/>
          <w:szCs w:val="22"/>
        </w:rPr>
      </w:pPr>
      <w:r w:rsidRPr="004F06F2">
        <w:rPr>
          <w:rFonts w:eastAsia="Calibri" w:cs="Times New Roman"/>
          <w:sz w:val="22"/>
          <w:szCs w:val="22"/>
        </w:rPr>
        <w:t>El saldo de los bienes inmuebles se muestra como sigue:</w:t>
      </w:r>
    </w:p>
    <w:p w:rsidR="00995380" w:rsidRPr="004F06F2" w:rsidRDefault="00995380" w:rsidP="00995380">
      <w:pPr>
        <w:spacing w:before="0" w:after="0"/>
        <w:rPr>
          <w:rFonts w:eastAsia="Calibri" w:cs="Times New Roman"/>
          <w:sz w:val="22"/>
          <w:szCs w:val="22"/>
        </w:rPr>
      </w:pPr>
      <w:r w:rsidRPr="00F0565B">
        <w:rPr>
          <w:noProof/>
          <w:lang w:val="es-MX" w:eastAsia="es-MX"/>
        </w:rPr>
        <w:drawing>
          <wp:inline distT="0" distB="0" distL="0" distR="0" wp14:anchorId="79CA6280" wp14:editId="6431B19F">
            <wp:extent cx="6351270" cy="1013363"/>
            <wp:effectExtent l="0" t="0" r="0" b="0"/>
            <wp:docPr id="817789843" name="Imagen 81778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1270" cy="1013363"/>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color w:val="000000"/>
          <w:sz w:val="22"/>
          <w:szCs w:val="22"/>
        </w:rPr>
      </w:pPr>
    </w:p>
    <w:p w:rsidR="00995380" w:rsidRPr="004F06F2" w:rsidRDefault="00995380" w:rsidP="00995380">
      <w:pPr>
        <w:spacing w:before="0" w:after="0"/>
        <w:rPr>
          <w:rFonts w:eastAsia="Calibri" w:cs="Times New Roman"/>
          <w:b/>
          <w:color w:val="000000"/>
          <w:sz w:val="22"/>
          <w:szCs w:val="22"/>
        </w:rPr>
      </w:pPr>
      <w:r w:rsidRPr="004F06F2">
        <w:rPr>
          <w:rFonts w:eastAsia="Calibri" w:cs="Times New Roman"/>
          <w:b/>
          <w:color w:val="000000"/>
          <w:sz w:val="22"/>
          <w:szCs w:val="22"/>
        </w:rPr>
        <w:t>BIENES MUEBLES</w:t>
      </w: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rsidR="00995380" w:rsidRPr="004F06F2" w:rsidRDefault="00995380" w:rsidP="00995380">
      <w:pPr>
        <w:spacing w:before="0" w:after="0"/>
        <w:rPr>
          <w:rFonts w:eastAsia="Calibri" w:cs="Times New Roman"/>
          <w:color w:val="000000"/>
          <w:sz w:val="22"/>
          <w:szCs w:val="22"/>
        </w:rPr>
      </w:pP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rsidR="00995380" w:rsidRPr="004F06F2" w:rsidRDefault="00995380" w:rsidP="00995380">
      <w:pPr>
        <w:spacing w:before="0" w:after="0"/>
        <w:rPr>
          <w:rFonts w:eastAsia="Calibri" w:cs="Times New Roman"/>
          <w:color w:val="000000"/>
          <w:sz w:val="22"/>
          <w:szCs w:val="22"/>
        </w:rPr>
      </w:pP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rsidR="00995380" w:rsidRPr="004F06F2" w:rsidRDefault="00995380" w:rsidP="00995380">
      <w:pPr>
        <w:spacing w:before="0" w:after="0"/>
        <w:rPr>
          <w:rFonts w:eastAsia="Calibri" w:cs="Times New Roman"/>
          <w:color w:val="000000"/>
          <w:sz w:val="22"/>
          <w:szCs w:val="22"/>
        </w:rPr>
      </w:pPr>
    </w:p>
    <w:p w:rsidR="00995380" w:rsidRDefault="00995380" w:rsidP="00995380">
      <w:pPr>
        <w:spacing w:before="0" w:after="0"/>
        <w:ind w:firstLine="284"/>
        <w:rPr>
          <w:rFonts w:eastAsia="Calibri" w:cs="Times New Roman"/>
          <w:color w:val="000000"/>
          <w:sz w:val="22"/>
          <w:szCs w:val="22"/>
        </w:rPr>
      </w:pPr>
      <w:r w:rsidRPr="004F06F2">
        <w:rPr>
          <w:rFonts w:eastAsia="Calibri" w:cs="Times New Roman"/>
          <w:color w:val="000000"/>
          <w:sz w:val="22"/>
          <w:szCs w:val="22"/>
        </w:rPr>
        <w:t>A continuación, se detalla la integración de este rubro:</w:t>
      </w:r>
    </w:p>
    <w:p w:rsidR="00995380" w:rsidRPr="004F06F2" w:rsidRDefault="00995380" w:rsidP="00995380">
      <w:pPr>
        <w:spacing w:before="0" w:after="0"/>
        <w:ind w:firstLine="284"/>
        <w:rPr>
          <w:rFonts w:eastAsia="Calibri" w:cs="Times New Roman"/>
          <w:color w:val="000000"/>
          <w:sz w:val="22"/>
          <w:szCs w:val="22"/>
        </w:rPr>
      </w:pPr>
      <w:r w:rsidRPr="00F0565B">
        <w:rPr>
          <w:noProof/>
          <w:lang w:val="es-MX" w:eastAsia="es-MX"/>
        </w:rPr>
        <w:drawing>
          <wp:inline distT="0" distB="0" distL="0" distR="0" wp14:anchorId="61781AF8" wp14:editId="57AF7FBF">
            <wp:extent cx="6351270" cy="1136000"/>
            <wp:effectExtent l="0" t="0" r="0" b="7620"/>
            <wp:docPr id="817789847" name="Imagen 81778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1270" cy="1136000"/>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color w:val="632423"/>
          <w:sz w:val="22"/>
          <w:szCs w:val="22"/>
        </w:rPr>
      </w:pPr>
    </w:p>
    <w:p w:rsidR="00995380" w:rsidRPr="004F06F2" w:rsidRDefault="00995380" w:rsidP="00995380">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9.- ACTIVOS INTANGIBLES</w:t>
      </w: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rsidR="00995380" w:rsidRDefault="00995380" w:rsidP="00995380">
      <w:pPr>
        <w:spacing w:before="0" w:after="0"/>
        <w:rPr>
          <w:rFonts w:eastAsia="Calibri" w:cs="Times New Roman"/>
          <w:color w:val="000000"/>
          <w:sz w:val="22"/>
          <w:szCs w:val="22"/>
        </w:rPr>
      </w:pPr>
    </w:p>
    <w:p w:rsidR="00995380" w:rsidRPr="004F06F2" w:rsidRDefault="00995380" w:rsidP="00995380">
      <w:pPr>
        <w:spacing w:before="0" w:after="0"/>
        <w:rPr>
          <w:rFonts w:eastAsia="Calibri" w:cs="Times New Roman"/>
          <w:color w:val="000000"/>
          <w:sz w:val="22"/>
          <w:szCs w:val="22"/>
        </w:rPr>
      </w:pPr>
      <w:r w:rsidRPr="00F0565B">
        <w:rPr>
          <w:noProof/>
          <w:lang w:val="es-MX" w:eastAsia="es-MX"/>
        </w:rPr>
        <w:drawing>
          <wp:inline distT="0" distB="0" distL="0" distR="0" wp14:anchorId="02C4B28F" wp14:editId="4F02C834">
            <wp:extent cx="6351270" cy="684182"/>
            <wp:effectExtent l="0" t="0" r="0" b="1905"/>
            <wp:docPr id="817789852" name="Imagen 81778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rsidR="00995380" w:rsidRPr="004F06F2" w:rsidRDefault="00995380" w:rsidP="00995380">
      <w:pPr>
        <w:widowControl w:val="0"/>
        <w:spacing w:before="0" w:after="0"/>
        <w:jc w:val="left"/>
        <w:rPr>
          <w:rFonts w:eastAsia="Times New Roman" w:cs="Times New Roman"/>
          <w:b/>
          <w:color w:val="000000"/>
          <w:sz w:val="22"/>
          <w:szCs w:val="22"/>
          <w:lang w:eastAsia="es-MX"/>
        </w:rPr>
      </w:pPr>
    </w:p>
    <w:p w:rsidR="00995380" w:rsidRPr="004F06F2" w:rsidRDefault="00995380" w:rsidP="00995380">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ACTIVOS DIFERIDOS</w:t>
      </w: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Los cargos diferidos son aquellos gastos pagados por anticipado y que no son susceptibles de ser recuperados por el Gobierno del Estado, en ningún momento.</w:t>
      </w: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rsidR="00995380" w:rsidRDefault="00995380" w:rsidP="00995380">
      <w:pPr>
        <w:spacing w:before="0" w:after="0"/>
        <w:rPr>
          <w:rFonts w:eastAsia="Calibri" w:cs="Times New Roman"/>
          <w:color w:val="000000"/>
          <w:sz w:val="22"/>
          <w:szCs w:val="22"/>
        </w:rPr>
      </w:pPr>
    </w:p>
    <w:p w:rsidR="00995380" w:rsidRPr="004F06F2" w:rsidRDefault="00995380" w:rsidP="00995380">
      <w:pPr>
        <w:spacing w:before="0" w:after="0"/>
        <w:rPr>
          <w:rFonts w:eastAsia="Calibri" w:cs="Times New Roman"/>
          <w:color w:val="000000"/>
          <w:sz w:val="22"/>
          <w:szCs w:val="22"/>
        </w:rPr>
      </w:pPr>
      <w:r w:rsidRPr="00BC29A8">
        <w:rPr>
          <w:noProof/>
          <w:lang w:val="es-MX" w:eastAsia="es-MX"/>
        </w:rPr>
        <w:drawing>
          <wp:inline distT="0" distB="0" distL="0" distR="0" wp14:anchorId="38C74BD5" wp14:editId="50B50C29">
            <wp:extent cx="6351270" cy="568000"/>
            <wp:effectExtent l="0" t="0" r="0" b="3810"/>
            <wp:docPr id="817789854" name="Imagen 81778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270" cy="568000"/>
                    </a:xfrm>
                    <a:prstGeom prst="rect">
                      <a:avLst/>
                    </a:prstGeom>
                    <a:noFill/>
                    <a:ln>
                      <a:noFill/>
                    </a:ln>
                  </pic:spPr>
                </pic:pic>
              </a:graphicData>
            </a:graphic>
          </wp:inline>
        </w:drawing>
      </w:r>
    </w:p>
    <w:p w:rsidR="00995380" w:rsidRPr="004F06F2" w:rsidRDefault="00995380" w:rsidP="00995380">
      <w:pPr>
        <w:widowControl w:val="0"/>
        <w:kinsoku w:val="0"/>
        <w:spacing w:before="0" w:after="0"/>
        <w:contextualSpacing/>
        <w:jc w:val="left"/>
        <w:rPr>
          <w:rFonts w:eastAsia="Times New Roman" w:cs="Times New Roman"/>
          <w:b/>
          <w:color w:val="000000"/>
          <w:sz w:val="22"/>
          <w:szCs w:val="22"/>
          <w:lang w:eastAsia="es-MX"/>
        </w:rPr>
      </w:pPr>
    </w:p>
    <w:p w:rsidR="00995380" w:rsidRPr="004F06F2" w:rsidRDefault="00995380" w:rsidP="00995380">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10. ESTIMACIONES Y DETERIOROS</w:t>
      </w:r>
      <w:r>
        <w:rPr>
          <w:rFonts w:eastAsia="Times New Roman" w:cs="Times New Roman"/>
          <w:b/>
          <w:color w:val="000000"/>
          <w:sz w:val="22"/>
          <w:szCs w:val="22"/>
          <w:lang w:eastAsia="es-MX"/>
        </w:rPr>
        <w:t>.</w:t>
      </w: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Se informarán los criterios utilizados para la determinación de las </w:t>
      </w:r>
      <w:r w:rsidRPr="00CF40B9">
        <w:rPr>
          <w:rFonts w:eastAsia="Times New Roman" w:cs="Times New Roman"/>
          <w:bCs/>
          <w:color w:val="000000"/>
          <w:sz w:val="22"/>
          <w:szCs w:val="22"/>
          <w:lang w:eastAsia="es-MX"/>
        </w:rPr>
        <w:lastRenderedPageBreak/>
        <w:t xml:space="preserve">estimaciones; por ejemplo: estimación de cuentas incobrables, estimación por deterioro de inventarios, deterioro de bienes y cualquier otra que aplique. </w:t>
      </w: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 depreciación representa la parte estimada de capacidad de los activos que se han consumido durante un periodo determinado, ya que su fin es de índole informativo, registrándose en los gastos del periodo, con el objeto de conocer el gasto patrimonial por el servicio que esté dando el activo, lo cual redundará en una estimación.</w:t>
      </w: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Asimismo, el registro contable de la depreciación tiene como objetivo reconocer la pérdida del valor de un activo, que puede originarse por obsolescencia, desgaste, o deterioro ordinario, defecto de fabricación, falta de uso, insuficiencia, entre otros.</w:t>
      </w: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La depreciación se aplica bajo los siguientes parámetros, considerando la fecha de capitalización de cada activo como referencia para el inicio del cálculo correspondiente, teniendo dos variantes en relación a la fecha de su registro, donde si es igual o posterior al día 16 del mes corriente, su aplicación inicial será en el mes inmediato siguiente, por lo tanto, si es registrado el día 15 o antes, el cálculo se reconocerá el mismo mes de su registro.  </w:t>
      </w: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Se toma como referencia los parámetros de estimación de Vida Útil, para la aplicación de la Depreciación de Bienes Muebles e Inmuebles, publicado en el Periódico Oficial de la Federación, el día 15 de agosto de 2012.</w:t>
      </w: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En caso de que un bien se encuentre totalmente depreciado, pero se considera que aún cuenta con vida útil, se determinará el tiempo aproximado de vida útil del bien mueble y se mantendrá en la contabilidad el valor correspondiente, para esto se cancelará el monto de la revaluación total de la depreciación como el activo no circulante y el monto de la depreciación acumulada aplicada hasta </w:t>
      </w:r>
      <w:r w:rsidRPr="00CF40B9">
        <w:rPr>
          <w:rFonts w:eastAsia="Times New Roman" w:cs="Times New Roman"/>
          <w:bCs/>
          <w:color w:val="000000"/>
          <w:sz w:val="22"/>
          <w:szCs w:val="22"/>
          <w:lang w:eastAsia="es-MX"/>
        </w:rPr>
        <w:lastRenderedPageBreak/>
        <w:t>por el importe que corresponda al periodo de la vida útil determinada y será sujeto nuevamente al proceso de la depreciación, y el titular de esta área deberá dejar constancia por escrito que se siguió para la determinación del tiempo de vida útil.</w:t>
      </w: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p>
    <w:p w:rsidR="00995380" w:rsidRPr="00CF40B9" w:rsidRDefault="00995380" w:rsidP="00995380">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Las obras de arte y terrenos no serán sujetos al proceso de la depreciación.</w:t>
      </w:r>
    </w:p>
    <w:p w:rsidR="00995380" w:rsidRPr="00CF40B9" w:rsidRDefault="00995380" w:rsidP="00995380">
      <w:pPr>
        <w:widowControl w:val="0"/>
        <w:kinsoku w:val="0"/>
        <w:spacing w:before="0" w:after="0"/>
        <w:contextualSpacing/>
        <w:jc w:val="left"/>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11.- OTROS ACTIVOS</w:t>
      </w:r>
    </w:p>
    <w:p w:rsidR="00995380" w:rsidRPr="00D17AA6" w:rsidRDefault="00995380" w:rsidP="00995380">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Gobierno del Estado de Michoacán no cuenta con activos diferentes a los ya señalados</w:t>
      </w:r>
    </w:p>
    <w:p w:rsidR="00995380" w:rsidRPr="004F06F2" w:rsidRDefault="00995380" w:rsidP="00995380">
      <w:pPr>
        <w:widowControl w:val="0"/>
        <w:kinsoku w:val="0"/>
        <w:spacing w:before="0" w:after="0"/>
        <w:contextualSpacing/>
        <w:jc w:val="left"/>
        <w:rPr>
          <w:rFonts w:eastAsia="Times New Roman" w:cs="Times New Roman"/>
          <w:b/>
          <w:color w:val="000000"/>
          <w:sz w:val="22"/>
          <w:szCs w:val="22"/>
          <w:lang w:eastAsia="es-MX"/>
        </w:rPr>
      </w:pPr>
    </w:p>
    <w:p w:rsidR="00995380" w:rsidRPr="004F06F2" w:rsidRDefault="00995380" w:rsidP="00995380">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31 de marzo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pasivos por obligaciones fiscales y laborales, acreedores diversos y pasivos por deudas contraídas a corto y largo plazo.</w:t>
      </w:r>
    </w:p>
    <w:p w:rsidR="00995380"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BC29A8">
        <w:rPr>
          <w:noProof/>
          <w:lang w:val="es-MX" w:eastAsia="es-MX"/>
        </w:rPr>
        <w:drawing>
          <wp:inline distT="0" distB="0" distL="0" distR="0" wp14:anchorId="4CA05C4E" wp14:editId="3F020D41">
            <wp:extent cx="6351270" cy="458273"/>
            <wp:effectExtent l="0" t="0" r="0" b="0"/>
            <wp:docPr id="817789855" name="Imagen 81778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1270" cy="458273"/>
                    </a:xfrm>
                    <a:prstGeom prst="rect">
                      <a:avLst/>
                    </a:prstGeom>
                    <a:noFill/>
                    <a:ln>
                      <a:noFill/>
                    </a:ln>
                  </pic:spPr>
                </pic:pic>
              </a:graphicData>
            </a:graphic>
          </wp:inline>
        </w:drawing>
      </w:r>
    </w:p>
    <w:p w:rsidR="00995380" w:rsidRPr="004F06F2" w:rsidRDefault="00995380" w:rsidP="00995380">
      <w:pPr>
        <w:tabs>
          <w:tab w:val="left" w:pos="480"/>
        </w:tabs>
        <w:spacing w:before="120" w:after="120"/>
        <w:jc w:val="center"/>
        <w:rPr>
          <w:rFonts w:eastAsia="Calibri" w:cs="Times New Roman"/>
          <w:b/>
          <w:color w:val="000000"/>
        </w:rPr>
      </w:pPr>
    </w:p>
    <w:p w:rsidR="00995380" w:rsidRPr="004F06F2" w:rsidRDefault="00995380" w:rsidP="00995380">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1. PASIVO CIRCULANTE (CUENTAS POR PAGAR A 30, 90, 180 Y MENOR O IGUAL A 365 DÍAS) </w:t>
      </w: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En este apartado, se presentan las obligaciones cuyo vencimiento será en un período menor o igual a doce meses, y se integra por las </w:t>
      </w:r>
      <w:r w:rsidRPr="004F06F2">
        <w:rPr>
          <w:rFonts w:eastAsia="Times New Roman" w:cs="Times New Roman"/>
          <w:color w:val="000000"/>
          <w:sz w:val="22"/>
          <w:szCs w:val="22"/>
          <w:lang w:eastAsia="es-MX"/>
        </w:rPr>
        <w:lastRenderedPageBreak/>
        <w:t>siguientes cuentas principalmente:</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9F6BE5">
        <w:rPr>
          <w:noProof/>
          <w:lang w:val="es-MX" w:eastAsia="es-MX"/>
        </w:rPr>
        <w:drawing>
          <wp:inline distT="0" distB="0" distL="0" distR="0" wp14:anchorId="4CC34630" wp14:editId="7A687587">
            <wp:extent cx="6351270" cy="80036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800363"/>
                    </a:xfrm>
                    <a:prstGeom prst="rect">
                      <a:avLst/>
                    </a:prstGeom>
                    <a:noFill/>
                    <a:ln>
                      <a:noFill/>
                    </a:ln>
                  </pic:spPr>
                </pic:pic>
              </a:graphicData>
            </a:graphic>
          </wp:inline>
        </w:drawing>
      </w:r>
    </w:p>
    <w:p w:rsidR="00995380" w:rsidRPr="004F06F2" w:rsidRDefault="00995380" w:rsidP="00995380">
      <w:pPr>
        <w:widowControl w:val="0"/>
        <w:kinsoku w:val="0"/>
        <w:spacing w:before="0" w:after="0"/>
        <w:contextualSpacing/>
        <w:rPr>
          <w:rFonts w:eastAsia="Times New Roman" w:cs="Times New Roman"/>
          <w:b/>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PAGAR A CORTO PLAZO</w:t>
      </w:r>
      <w:r w:rsidRPr="004F06F2">
        <w:rPr>
          <w:rFonts w:eastAsia="Calibri" w:cs="Times New Roman"/>
          <w:sz w:val="22"/>
          <w:szCs w:val="22"/>
        </w:rPr>
        <w:t xml:space="preserve"> </w:t>
      </w: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el renglón de Cuentas por Pagar Corto Plazo, se incluyeron, para su presentación, los siguientes conceptos:</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9F6BE5">
        <w:rPr>
          <w:noProof/>
          <w:lang w:val="es-MX" w:eastAsia="es-MX"/>
        </w:rPr>
        <w:drawing>
          <wp:inline distT="0" distB="0" distL="0" distR="0" wp14:anchorId="1471B0EF" wp14:editId="689D8216">
            <wp:extent cx="6351270" cy="1252181"/>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1270" cy="1252181"/>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OTROS PASIVOS A CORTO PLAZO</w:t>
      </w:r>
    </w:p>
    <w:p w:rsidR="00995380" w:rsidRDefault="00995380" w:rsidP="00995380">
      <w:pPr>
        <w:spacing w:before="0" w:after="0"/>
        <w:rPr>
          <w:rFonts w:eastAsia="Calibri" w:cs="Times New Roman"/>
          <w:sz w:val="22"/>
          <w:szCs w:val="22"/>
        </w:rPr>
      </w:pPr>
      <w:r w:rsidRPr="004F06F2">
        <w:rPr>
          <w:rFonts w:eastAsia="Calibri" w:cs="Times New Roman"/>
          <w:sz w:val="22"/>
          <w:szCs w:val="22"/>
        </w:rPr>
        <w:t>La cuenta de Otros Pasivos a Corto Plazo se integra por los siguientes conceptos:</w:t>
      </w:r>
    </w:p>
    <w:p w:rsidR="00995380" w:rsidRPr="004F06F2" w:rsidRDefault="00995380" w:rsidP="00995380">
      <w:pPr>
        <w:spacing w:before="0" w:after="0"/>
        <w:rPr>
          <w:rFonts w:eastAsia="Calibri" w:cs="Times New Roman"/>
          <w:sz w:val="22"/>
          <w:szCs w:val="22"/>
        </w:rPr>
      </w:pPr>
      <w:r w:rsidRPr="009F6BE5">
        <w:rPr>
          <w:noProof/>
          <w:lang w:val="es-MX" w:eastAsia="es-MX"/>
        </w:rPr>
        <w:drawing>
          <wp:inline distT="0" distB="0" distL="0" distR="0" wp14:anchorId="7D9467D8" wp14:editId="4160D237">
            <wp:extent cx="6351270" cy="57445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574454"/>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sz w:val="10"/>
          <w:szCs w:val="10"/>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sz w:val="22"/>
          <w:szCs w:val="22"/>
        </w:rPr>
        <w:t>Se compensan estos saldos al mes siguiente tal como lo estipula la legislación mencionada. Al cierre del período no se han compensado con la federación</w:t>
      </w:r>
      <w:r>
        <w:rPr>
          <w:rFonts w:eastAsia="Calibri" w:cs="Times New Roman"/>
          <w:sz w:val="22"/>
          <w:szCs w:val="22"/>
        </w:rPr>
        <w:t xml:space="preserve"> y</w:t>
      </w:r>
      <w:r w:rsidRPr="004F06F2">
        <w:rPr>
          <w:rFonts w:eastAsia="Calibri" w:cs="Times New Roman"/>
          <w:sz w:val="22"/>
          <w:szCs w:val="22"/>
        </w:rPr>
        <w:t xml:space="preserve"> que representan el 3</w:t>
      </w:r>
      <w:r>
        <w:rPr>
          <w:rFonts w:eastAsia="Calibri" w:cs="Times New Roman"/>
          <w:sz w:val="22"/>
          <w:szCs w:val="22"/>
        </w:rPr>
        <w:t>9</w:t>
      </w:r>
      <w:r w:rsidRPr="004F06F2">
        <w:rPr>
          <w:rFonts w:eastAsia="Calibri" w:cs="Times New Roman"/>
          <w:sz w:val="22"/>
          <w:szCs w:val="22"/>
        </w:rPr>
        <w:t>% del total del rubro de Pasivo Circulante.</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2.- FONDOS Y BIENES DE TERCEROS EN GARANTÍA Y/O ADMINISTRACIÓN</w:t>
      </w: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lastRenderedPageBreak/>
        <w:t>El renglón de Fondos y Bienes de Terceros en Garantía y/ o Administración a Corto Plazo, se integra la de los siguientes fondos:</w:t>
      </w:r>
    </w:p>
    <w:p w:rsidR="00995380"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9F6BE5">
        <w:rPr>
          <w:noProof/>
          <w:lang w:val="es-MX" w:eastAsia="es-MX"/>
        </w:rPr>
        <w:drawing>
          <wp:inline distT="0" distB="0" distL="0" distR="0" wp14:anchorId="3A6D4E7D" wp14:editId="0E68E855">
            <wp:extent cx="6351270" cy="45827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1270" cy="458273"/>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color w:val="000000"/>
          <w:sz w:val="22"/>
          <w:szCs w:val="22"/>
        </w:rPr>
      </w:pPr>
    </w:p>
    <w:p w:rsidR="00995380" w:rsidRPr="004F06F2" w:rsidRDefault="00995380" w:rsidP="00995380">
      <w:pPr>
        <w:spacing w:before="0" w:after="0"/>
        <w:rPr>
          <w:rFonts w:eastAsia="Calibri" w:cs="Times New Roman"/>
          <w:color w:val="000000"/>
          <w:sz w:val="22"/>
          <w:szCs w:val="22"/>
        </w:rPr>
      </w:pPr>
      <w:r w:rsidRPr="004F06F2">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rsidR="00995380" w:rsidRPr="004F06F2" w:rsidRDefault="00995380" w:rsidP="00995380">
      <w:pPr>
        <w:spacing w:before="0" w:after="0"/>
        <w:ind w:left="425"/>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 xml:space="preserve">Entre ellos se encuentran, aquellos que se reciben para la regularización de fraccionamientos, algunas aportaciones de acreedores del </w:t>
      </w:r>
      <w:r w:rsidRPr="004F06F2">
        <w:rPr>
          <w:rFonts w:eastAsia="Calibri" w:cs="Times New Roman"/>
          <w:color w:val="000000"/>
          <w:sz w:val="22"/>
          <w:szCs w:val="22"/>
        </w:rPr>
        <w:t>Instituto de Seguridad y Servicios Sociales de los Trabajadores del Estado</w:t>
      </w:r>
      <w:r w:rsidRPr="004F06F2">
        <w:rPr>
          <w:rFonts w:eastAsia="Calibri" w:cs="Times New Roman"/>
          <w:sz w:val="22"/>
          <w:szCs w:val="22"/>
        </w:rPr>
        <w:t>,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rsidR="00995380" w:rsidRPr="004F06F2" w:rsidRDefault="00995380" w:rsidP="00995380">
      <w:pPr>
        <w:widowControl w:val="0"/>
        <w:kinsoku w:val="0"/>
        <w:spacing w:before="0" w:after="0"/>
        <w:contextualSpacing/>
        <w:rPr>
          <w:rFonts w:eastAsia="Times New Roman" w:cs="Times New Roman"/>
          <w:b/>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 NO CIRCULANTE (CUENTAS POR PAGAR CON VENCIMIENTO MAYOR A 365 DÍAS)</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pasivo no circulante se integra la Deuda Pública a Largo Plazo </w:t>
      </w:r>
      <w:r w:rsidRPr="004F06F2">
        <w:rPr>
          <w:rFonts w:eastAsia="Times New Roman" w:cs="Times New Roman"/>
          <w:color w:val="000000"/>
          <w:sz w:val="22"/>
          <w:szCs w:val="22"/>
          <w:lang w:eastAsia="es-MX"/>
        </w:rPr>
        <w:lastRenderedPageBreak/>
        <w:t>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rsidR="00995380"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9F6BE5">
        <w:rPr>
          <w:noProof/>
          <w:lang w:val="es-MX" w:eastAsia="es-MX"/>
        </w:rPr>
        <w:drawing>
          <wp:inline distT="0" distB="0" distL="0" distR="0" wp14:anchorId="69A5ACF7" wp14:editId="13E96064">
            <wp:extent cx="6351270" cy="3485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270" cy="348545"/>
                    </a:xfrm>
                    <a:prstGeom prst="rect">
                      <a:avLst/>
                    </a:prstGeom>
                    <a:noFill/>
                    <a:ln>
                      <a:noFill/>
                    </a:ln>
                  </pic:spPr>
                </pic:pic>
              </a:graphicData>
            </a:graphic>
          </wp:inline>
        </w:drawing>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3.- PASIVOS DIFERIDOS.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El Gobierno del Estado de Michoacán no cuenta con pasivos diferidos.</w:t>
      </w:r>
    </w:p>
    <w:p w:rsidR="00995380"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4.- PROVISIONES</w:t>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El Gobierno del Estado de Michoacán no ha creado provisiones.</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5.- OTROS PASIVOS</w:t>
      </w: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El Gobierno del Estado de Michoacán no cuenta con pasivos diferentes a los ya descritos.</w:t>
      </w:r>
    </w:p>
    <w:p w:rsidR="00995380" w:rsidRPr="004F06F2" w:rsidRDefault="00995380" w:rsidP="00995380">
      <w:pPr>
        <w:spacing w:before="0" w:after="0"/>
        <w:rPr>
          <w:color w:val="833C0B" w:themeColor="accent2" w:themeShade="80"/>
        </w:rPr>
      </w:pPr>
    </w:p>
    <w:p w:rsidR="00995380" w:rsidRPr="004F06F2" w:rsidRDefault="00995380" w:rsidP="00995380">
      <w:pPr>
        <w:spacing w:before="0" w:after="0"/>
        <w:jc w:val="left"/>
        <w:rPr>
          <w:rFonts w:eastAsia="Calibri" w:cs="Times New Roman"/>
          <w:b/>
          <w:szCs w:val="36"/>
        </w:rPr>
      </w:pPr>
      <w:r w:rsidRPr="004F06F2">
        <w:rPr>
          <w:rFonts w:eastAsia="Calibri" w:cs="Times New Roman"/>
          <w:b/>
          <w:szCs w:val="36"/>
        </w:rPr>
        <w:t>III). NOTAS AL ESTADO DE VARIACIÓN DE LA HACIENDA PÚBLICA</w:t>
      </w:r>
    </w:p>
    <w:p w:rsidR="00995380" w:rsidRPr="004F06F2" w:rsidRDefault="00995380" w:rsidP="00995380">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HACIENDA PÚBLICA/PATRIMONIO</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Representa la diferencia entre el activo y el pasivo del ente público. Incluye el resultado de la gestión de ejercicios anteriores.</w:t>
      </w:r>
    </w:p>
    <w:p w:rsidR="00995380" w:rsidRPr="004F06F2" w:rsidRDefault="00995380" w:rsidP="00995380">
      <w:pPr>
        <w:widowControl w:val="0"/>
        <w:kinsoku w:val="0"/>
        <w:spacing w:before="0" w:after="0"/>
        <w:ind w:left="426"/>
        <w:contextualSpacing/>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 xml:space="preserve">    1. Patrimonio Estatal/Patrimonio Contribuido</w:t>
      </w:r>
    </w:p>
    <w:p w:rsidR="00995380" w:rsidRPr="004F06F2" w:rsidRDefault="00995380" w:rsidP="00995380">
      <w:pPr>
        <w:widowControl w:val="0"/>
        <w:kinsoku w:val="0"/>
        <w:spacing w:before="0" w:after="0"/>
        <w:ind w:left="709"/>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las </w:t>
      </w:r>
      <w:r w:rsidRPr="004F06F2">
        <w:rPr>
          <w:rFonts w:eastAsia="Times New Roman" w:cs="Times New Roman"/>
          <w:sz w:val="22"/>
          <w:szCs w:val="22"/>
          <w:lang w:eastAsia="es-MX"/>
        </w:rPr>
        <w:t xml:space="preserve">aportaciones, con fines permanentes, del </w:t>
      </w:r>
      <w:r w:rsidRPr="004F06F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rsidR="00995380" w:rsidRPr="004F06F2" w:rsidRDefault="00995380" w:rsidP="00995380">
      <w:pPr>
        <w:widowControl w:val="0"/>
        <w:kinsoku w:val="0"/>
        <w:spacing w:before="0" w:after="0"/>
        <w:ind w:left="709"/>
        <w:contextualSpacing/>
        <w:rPr>
          <w:rFonts w:eastAsia="Times New Roman" w:cs="Times New Roman"/>
          <w:color w:val="000000"/>
          <w:sz w:val="22"/>
          <w:szCs w:val="22"/>
          <w:lang w:eastAsia="es-MX"/>
        </w:rPr>
      </w:pPr>
    </w:p>
    <w:p w:rsidR="00995380"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Al 31 de marzo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el total de la Hacienda Pública/Patrimonio </w:t>
      </w:r>
      <w:r w:rsidRPr="004F06F2">
        <w:rPr>
          <w:rFonts w:eastAsia="Times New Roman" w:cs="Times New Roman"/>
          <w:color w:val="000000"/>
          <w:sz w:val="22"/>
          <w:szCs w:val="22"/>
          <w:lang w:eastAsia="es-MX"/>
        </w:rPr>
        <w:lastRenderedPageBreak/>
        <w:t xml:space="preserve">Contribuido presenta un saldo de </w:t>
      </w:r>
      <w:r>
        <w:rPr>
          <w:rFonts w:eastAsia="Times New Roman" w:cs="Times New Roman"/>
          <w:color w:val="000000"/>
          <w:sz w:val="22"/>
          <w:szCs w:val="22"/>
          <w:lang w:eastAsia="es-MX"/>
        </w:rPr>
        <w:t>37</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802</w:t>
      </w:r>
      <w:r w:rsidRPr="004F06F2">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796</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957</w:t>
      </w:r>
      <w:r w:rsidRPr="004F06F2">
        <w:rPr>
          <w:rFonts w:eastAsia="Times New Roman" w:cs="Times New Roman"/>
          <w:color w:val="000000"/>
          <w:sz w:val="22"/>
          <w:szCs w:val="22"/>
          <w:lang w:eastAsia="es-MX"/>
        </w:rPr>
        <w:t xml:space="preserve"> pesos, el cual se integra de los siguientes rubros:</w:t>
      </w:r>
    </w:p>
    <w:p w:rsidR="00995380" w:rsidRDefault="00995380" w:rsidP="00995380">
      <w:pPr>
        <w:widowControl w:val="0"/>
        <w:kinsoku w:val="0"/>
        <w:spacing w:before="0" w:after="0"/>
        <w:contextualSpacing/>
        <w:rPr>
          <w:rFonts w:eastAsia="Times New Roman" w:cs="Times New Roman"/>
          <w:color w:val="000000"/>
          <w:sz w:val="22"/>
          <w:szCs w:val="22"/>
          <w:lang w:eastAsia="es-MX"/>
        </w:rPr>
      </w:pPr>
    </w:p>
    <w:p w:rsidR="00995380" w:rsidRDefault="00995380" w:rsidP="00995380">
      <w:pPr>
        <w:widowControl w:val="0"/>
        <w:kinsoku w:val="0"/>
        <w:spacing w:before="0" w:after="0"/>
        <w:contextualSpacing/>
        <w:rPr>
          <w:rFonts w:eastAsia="Times New Roman" w:cs="Times New Roman"/>
          <w:color w:val="000000"/>
          <w:sz w:val="22"/>
          <w:szCs w:val="22"/>
          <w:lang w:eastAsia="es-MX"/>
        </w:rPr>
      </w:pPr>
      <w:r>
        <w:rPr>
          <w:rFonts w:eastAsia="Times New Roman" w:cs="Times New Roman"/>
          <w:noProof/>
          <w:color w:val="000000"/>
          <w:sz w:val="22"/>
          <w:szCs w:val="22"/>
          <w:lang w:val="es-MX" w:eastAsia="es-MX"/>
        </w:rPr>
        <w:drawing>
          <wp:inline distT="0" distB="0" distL="0" distR="0" wp14:anchorId="7B239BF0" wp14:editId="20224E8F">
            <wp:extent cx="6352540" cy="560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2540" cy="560705"/>
                    </a:xfrm>
                    <a:prstGeom prst="rect">
                      <a:avLst/>
                    </a:prstGeom>
                    <a:noFill/>
                  </pic:spPr>
                </pic:pic>
              </a:graphicData>
            </a:graphic>
          </wp:inline>
        </w:drawing>
      </w:r>
    </w:p>
    <w:p w:rsidR="00995380" w:rsidRPr="004F06F2" w:rsidRDefault="00995380" w:rsidP="00995380">
      <w:pPr>
        <w:spacing w:before="0" w:after="0"/>
        <w:rPr>
          <w:rFonts w:eastAsia="Calibri" w:cs="Times New Roman"/>
          <w:sz w:val="22"/>
          <w:szCs w:val="22"/>
        </w:rPr>
      </w:pPr>
    </w:p>
    <w:p w:rsidR="00995380" w:rsidRPr="004F06F2" w:rsidRDefault="00995380" w:rsidP="00995380">
      <w:pPr>
        <w:spacing w:before="0" w:after="0"/>
        <w:rPr>
          <w:rFonts w:eastAsia="Calibri" w:cs="Times New Roman"/>
          <w:sz w:val="22"/>
          <w:szCs w:val="22"/>
        </w:rPr>
      </w:pPr>
      <w:r w:rsidRPr="004F06F2">
        <w:rPr>
          <w:rFonts w:eastAsia="Calibri" w:cs="Times New Roman"/>
          <w:sz w:val="22"/>
          <w:szCs w:val="22"/>
        </w:rPr>
        <w:t>Dentro del rubro de Patrimonio Estatal/Patrimonio Contribuido, se destaca la actualización realizada de la participación del Poder Ejecutivo en el Patrimonio de las Entidades Paraestatales, el cual se detalla en el punto 5 de las notas de desglose. Dicha actualización forma parte del aumento del Patrimonio contribuido.</w:t>
      </w:r>
    </w:p>
    <w:p w:rsidR="00995380"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eastAsia="Calibri" w:cs="Times New Roman"/>
          <w:b/>
          <w:sz w:val="22"/>
          <w:szCs w:val="22"/>
        </w:rPr>
      </w:pPr>
      <w:r w:rsidRPr="004F06F2">
        <w:rPr>
          <w:rFonts w:eastAsia="Calibri" w:cs="Times New Roman"/>
          <w:b/>
          <w:sz w:val="22"/>
          <w:szCs w:val="22"/>
        </w:rPr>
        <w:t>2. Patrimonio Estatal/Patrimonio Generado</w:t>
      </w:r>
    </w:p>
    <w:p w:rsidR="00995380" w:rsidRDefault="00995380" w:rsidP="00995380">
      <w:pPr>
        <w:widowControl w:val="0"/>
        <w:kinsoku w:val="0"/>
        <w:spacing w:before="0" w:after="0"/>
        <w:contextualSpacing/>
        <w:rPr>
          <w:rFonts w:eastAsia="Calibri" w:cs="Times New Roman"/>
          <w:color w:val="000000"/>
          <w:sz w:val="22"/>
          <w:szCs w:val="22"/>
        </w:rPr>
      </w:pPr>
      <w:r w:rsidRPr="004F06F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 de ejercicios anteriores que le afectan de acuerdo con los lineamientos emitidos por el Consejo Nacional de Armonización Contable.</w:t>
      </w:r>
    </w:p>
    <w:p w:rsidR="00995380" w:rsidRPr="004F06F2" w:rsidRDefault="00995380" w:rsidP="00995380">
      <w:pPr>
        <w:widowControl w:val="0"/>
        <w:kinsoku w:val="0"/>
        <w:spacing w:before="0" w:after="0"/>
        <w:contextualSpacing/>
        <w:rPr>
          <w:rFonts w:eastAsia="Calibri" w:cs="Times New Roman"/>
          <w:color w:val="000000"/>
          <w:sz w:val="22"/>
          <w:szCs w:val="22"/>
        </w:rPr>
      </w:pPr>
      <w:r w:rsidRPr="007813AA">
        <w:rPr>
          <w:noProof/>
          <w:lang w:val="es-MX" w:eastAsia="es-MX"/>
        </w:rPr>
        <w:drawing>
          <wp:inline distT="0" distB="0" distL="0" distR="0" wp14:anchorId="5F2C8DE7" wp14:editId="4B4CBB79">
            <wp:extent cx="6351270" cy="684182"/>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rsidR="00995380" w:rsidRPr="004F06F2" w:rsidRDefault="00995380" w:rsidP="00995380">
      <w:pPr>
        <w:spacing w:before="0" w:after="0"/>
        <w:rPr>
          <w:rFonts w:ascii="Arial" w:hAnsi="Arial" w:cs="Arial"/>
          <w:b/>
          <w:color w:val="000000"/>
          <w:sz w:val="22"/>
          <w:szCs w:val="22"/>
        </w:rPr>
      </w:pPr>
      <w:r w:rsidRPr="004F06F2">
        <w:rPr>
          <w:rFonts w:eastAsia="Calibri" w:cs="Times New Roman"/>
          <w:b/>
          <w:sz w:val="22"/>
          <w:szCs w:val="22"/>
        </w:rPr>
        <w:t>Resultado del Ejercicio</w:t>
      </w:r>
      <w:r w:rsidRPr="004F06F2">
        <w:rPr>
          <w:rFonts w:ascii="Arial" w:hAnsi="Arial" w:cs="Arial"/>
          <w:b/>
          <w:color w:val="000000"/>
          <w:sz w:val="22"/>
          <w:szCs w:val="22"/>
        </w:rPr>
        <w:t xml:space="preserve"> </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Calibri" w:cs="Times New Roman"/>
          <w:b/>
          <w:sz w:val="22"/>
          <w:szCs w:val="22"/>
        </w:rPr>
      </w:pPr>
      <w:r w:rsidRPr="004F06F2">
        <w:rPr>
          <w:rFonts w:eastAsia="Times New Roman" w:cs="Times New Roman"/>
          <w:color w:val="000000"/>
          <w:sz w:val="22"/>
          <w:szCs w:val="22"/>
          <w:lang w:eastAsia="es-MX"/>
        </w:rPr>
        <w:t xml:space="preserve">El monto de </w:t>
      </w:r>
      <w:r>
        <w:rPr>
          <w:rFonts w:eastAsia="Times New Roman" w:cs="Times New Roman"/>
          <w:color w:val="000000"/>
          <w:sz w:val="22"/>
          <w:szCs w:val="22"/>
          <w:lang w:eastAsia="es-MX"/>
        </w:rPr>
        <w:t>3</w:t>
      </w:r>
      <w:r w:rsidRPr="004F06F2">
        <w:rPr>
          <w:rFonts w:eastAsia="Calibri" w:cs="Times New Roman"/>
          <w:color w:val="000000"/>
          <w:sz w:val="22"/>
          <w:szCs w:val="22"/>
        </w:rPr>
        <w:t xml:space="preserve"> mil </w:t>
      </w:r>
      <w:r>
        <w:rPr>
          <w:rFonts w:eastAsia="Calibri" w:cs="Times New Roman"/>
          <w:color w:val="000000"/>
          <w:sz w:val="22"/>
          <w:szCs w:val="22"/>
        </w:rPr>
        <w:t>167</w:t>
      </w:r>
      <w:r w:rsidRPr="004F06F2">
        <w:rPr>
          <w:rFonts w:eastAsia="Calibri" w:cs="Times New Roman"/>
          <w:color w:val="000000"/>
          <w:sz w:val="22"/>
          <w:szCs w:val="22"/>
        </w:rPr>
        <w:t xml:space="preserve"> millones </w:t>
      </w:r>
      <w:r>
        <w:rPr>
          <w:rFonts w:eastAsia="Calibri" w:cs="Times New Roman"/>
          <w:color w:val="000000"/>
          <w:sz w:val="22"/>
          <w:szCs w:val="22"/>
        </w:rPr>
        <w:t>93</w:t>
      </w:r>
      <w:r w:rsidRPr="004F06F2">
        <w:rPr>
          <w:rFonts w:eastAsia="Calibri" w:cs="Times New Roman"/>
          <w:color w:val="000000"/>
          <w:sz w:val="22"/>
          <w:szCs w:val="22"/>
        </w:rPr>
        <w:t xml:space="preserve"> mil </w:t>
      </w:r>
      <w:r>
        <w:rPr>
          <w:rFonts w:eastAsia="Calibri" w:cs="Times New Roman"/>
          <w:color w:val="000000"/>
          <w:sz w:val="22"/>
          <w:szCs w:val="22"/>
        </w:rPr>
        <w:t>785</w:t>
      </w:r>
      <w:r w:rsidRPr="004F06F2">
        <w:rPr>
          <w:rFonts w:eastAsia="Calibri" w:cs="Times New Roman"/>
          <w:color w:val="000000"/>
          <w:sz w:val="22"/>
          <w:szCs w:val="22"/>
        </w:rPr>
        <w:t xml:space="preserve"> pesos</w:t>
      </w:r>
      <w:r w:rsidRPr="004F06F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rsidR="00995380" w:rsidRPr="004F06F2" w:rsidRDefault="00995380" w:rsidP="00995380">
      <w:pPr>
        <w:spacing w:before="0" w:after="0"/>
        <w:rPr>
          <w:rFonts w:eastAsia="Calibri" w:cs="Times New Roman"/>
          <w:b/>
          <w:sz w:val="22"/>
          <w:szCs w:val="22"/>
        </w:rPr>
      </w:pPr>
    </w:p>
    <w:p w:rsidR="00995380" w:rsidRPr="004F06F2" w:rsidRDefault="00995380" w:rsidP="00995380">
      <w:pPr>
        <w:spacing w:before="0" w:after="0"/>
        <w:rPr>
          <w:rFonts w:ascii="Arial" w:hAnsi="Arial" w:cs="Arial"/>
          <w:b/>
          <w:color w:val="000000"/>
          <w:sz w:val="22"/>
          <w:szCs w:val="22"/>
        </w:rPr>
      </w:pPr>
      <w:r w:rsidRPr="004F06F2">
        <w:rPr>
          <w:rFonts w:eastAsia="Calibri" w:cs="Times New Roman"/>
          <w:b/>
          <w:sz w:val="22"/>
          <w:szCs w:val="22"/>
        </w:rPr>
        <w:t>Resultado de Ejercicios Anteriores</w:t>
      </w:r>
      <w:r w:rsidRPr="004F06F2">
        <w:rPr>
          <w:rFonts w:ascii="Arial" w:hAnsi="Arial" w:cs="Arial"/>
          <w:b/>
          <w:color w:val="000000"/>
          <w:sz w:val="22"/>
          <w:szCs w:val="22"/>
        </w:rPr>
        <w:t xml:space="preserve"> </w:t>
      </w:r>
    </w:p>
    <w:p w:rsidR="00995380" w:rsidRPr="004F06F2" w:rsidRDefault="00995380" w:rsidP="00995380">
      <w:pPr>
        <w:spacing w:before="0" w:after="0"/>
        <w:rPr>
          <w:rFonts w:eastAsia="Times New Roman" w:cs="Times New Roman"/>
          <w:color w:val="000000"/>
          <w:sz w:val="22"/>
          <w:szCs w:val="22"/>
          <w:lang w:eastAsia="es-MX"/>
        </w:rPr>
      </w:pPr>
    </w:p>
    <w:p w:rsidR="00995380" w:rsidRPr="004F06F2" w:rsidRDefault="00995380" w:rsidP="00995380">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lastRenderedPageBreak/>
        <w:t>Representa el saldo acumulado de los resultados obtenidos de ejercicios anteriores, el cual refleja un ahorro (superávit) de 1</w:t>
      </w:r>
      <w:r>
        <w:rPr>
          <w:rFonts w:eastAsia="Times New Roman" w:cs="Times New Roman"/>
          <w:color w:val="000000"/>
          <w:sz w:val="22"/>
          <w:szCs w:val="22"/>
          <w:lang w:eastAsia="es-MX"/>
        </w:rPr>
        <w:t>8</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927</w:t>
      </w:r>
      <w:r w:rsidRPr="004F06F2">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630</w:t>
      </w:r>
      <w:r w:rsidRPr="004F06F2">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378</w:t>
      </w:r>
      <w:r w:rsidRPr="004F06F2">
        <w:rPr>
          <w:rFonts w:eastAsia="Times New Roman" w:cs="Times New Roman"/>
          <w:color w:val="000000"/>
          <w:sz w:val="22"/>
          <w:szCs w:val="22"/>
          <w:lang w:eastAsia="es-MX"/>
        </w:rPr>
        <w:t xml:space="preserve"> pesos, en donde ya se incluye el resultado superavitario o ahorro que se obtuvo </w:t>
      </w:r>
      <w:r w:rsidRPr="000A377D">
        <w:rPr>
          <w:rFonts w:eastAsia="Times New Roman" w:cs="Times New Roman"/>
          <w:color w:val="000000"/>
          <w:sz w:val="22"/>
          <w:szCs w:val="22"/>
          <w:lang w:eastAsia="es-MX"/>
        </w:rPr>
        <w:t>en el ejercicio 2024 por un importe de 3</w:t>
      </w:r>
      <w:r w:rsidRPr="000A377D">
        <w:rPr>
          <w:rFonts w:eastAsia="Calibri" w:cs="Times New Roman"/>
          <w:color w:val="000000"/>
          <w:sz w:val="22"/>
          <w:szCs w:val="22"/>
        </w:rPr>
        <w:t xml:space="preserve"> mil 166 millones 477 mil 309 pesos</w:t>
      </w:r>
      <w:r w:rsidRPr="000A377D">
        <w:rPr>
          <w:rFonts w:eastAsia="Times New Roman" w:cs="Times New Roman"/>
          <w:color w:val="000000"/>
          <w:sz w:val="22"/>
          <w:szCs w:val="22"/>
          <w:lang w:eastAsia="es-MX"/>
        </w:rPr>
        <w:t>.</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spacing w:before="0" w:after="0"/>
        <w:rPr>
          <w:rFonts w:ascii="Arial" w:hAnsi="Arial" w:cs="Arial"/>
          <w:b/>
          <w:color w:val="000000"/>
          <w:sz w:val="22"/>
          <w:szCs w:val="22"/>
        </w:rPr>
      </w:pPr>
      <w:r w:rsidRPr="004F06F2">
        <w:rPr>
          <w:rFonts w:eastAsia="Calibri" w:cs="Times New Roman"/>
          <w:b/>
          <w:sz w:val="22"/>
          <w:szCs w:val="22"/>
        </w:rPr>
        <w:t>Rectificaciones de Resultado de Ejercicios Anteriores</w:t>
      </w:r>
      <w:r w:rsidRPr="004F06F2">
        <w:rPr>
          <w:rFonts w:ascii="Arial" w:hAnsi="Arial" w:cs="Arial"/>
          <w:b/>
          <w:color w:val="000000"/>
          <w:sz w:val="22"/>
          <w:szCs w:val="22"/>
        </w:rPr>
        <w:t xml:space="preserve"> </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esta cuenta se establece 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rsidR="00995380" w:rsidRDefault="00995380" w:rsidP="00995380">
      <w:pPr>
        <w:widowControl w:val="0"/>
        <w:kinsoku w:val="0"/>
        <w:spacing w:before="0" w:after="0"/>
        <w:contextualSpacing/>
        <w:rPr>
          <w:rFonts w:eastAsia="Calibri" w:cs="Times New Roman"/>
          <w:b/>
          <w:szCs w:val="36"/>
        </w:rPr>
      </w:pPr>
    </w:p>
    <w:p w:rsidR="00995380" w:rsidRPr="004F06F2" w:rsidRDefault="00995380" w:rsidP="00995380">
      <w:pPr>
        <w:widowControl w:val="0"/>
        <w:kinsoku w:val="0"/>
        <w:spacing w:before="0" w:after="0"/>
        <w:contextualSpacing/>
        <w:rPr>
          <w:rFonts w:eastAsia="Calibri" w:cs="Times New Roman"/>
          <w:b/>
          <w:szCs w:val="36"/>
        </w:rPr>
      </w:pPr>
    </w:p>
    <w:p w:rsidR="00995380" w:rsidRPr="004F06F2" w:rsidRDefault="00995380" w:rsidP="00995380">
      <w:pPr>
        <w:widowControl w:val="0"/>
        <w:kinsoku w:val="0"/>
        <w:spacing w:before="0" w:after="0"/>
        <w:contextualSpacing/>
        <w:rPr>
          <w:rFonts w:eastAsia="Calibri" w:cs="Times New Roman"/>
          <w:b/>
          <w:szCs w:val="36"/>
        </w:rPr>
      </w:pPr>
      <w:r w:rsidRPr="004F06F2">
        <w:rPr>
          <w:rFonts w:eastAsia="Calibri" w:cs="Times New Roman"/>
          <w:b/>
          <w:szCs w:val="36"/>
        </w:rPr>
        <w:t>IV) NOTAS AL ESTADO DE FLUJOS DE EFECTIVO</w:t>
      </w:r>
    </w:p>
    <w:p w:rsidR="00995380" w:rsidRPr="004F06F2" w:rsidRDefault="00995380" w:rsidP="0099538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1.- La integración de los saldos inicial y final al 31 de marzo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Efectivo y Equivalentes, que figuran en la última parte del Estado de Flujo de Efectivo en esta cuenta es la siguiente:</w:t>
      </w:r>
    </w:p>
    <w:p w:rsidR="00995380" w:rsidRDefault="00995380" w:rsidP="00995380">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 </w:t>
      </w:r>
      <w:r w:rsidRPr="007813AA">
        <w:rPr>
          <w:noProof/>
          <w:lang w:val="es-MX" w:eastAsia="es-MX"/>
        </w:rPr>
        <w:drawing>
          <wp:inline distT="0" distB="0" distL="0" distR="0" wp14:anchorId="59C0E1A7" wp14:editId="579DB58F">
            <wp:extent cx="6351270" cy="1004624"/>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1270" cy="1004624"/>
                    </a:xfrm>
                    <a:prstGeom prst="rect">
                      <a:avLst/>
                    </a:prstGeom>
                    <a:noFill/>
                    <a:ln>
                      <a:noFill/>
                    </a:ln>
                  </pic:spPr>
                </pic:pic>
              </a:graphicData>
            </a:graphic>
          </wp:inline>
        </w:drawing>
      </w:r>
    </w:p>
    <w:p w:rsidR="00995380" w:rsidRPr="00F0186C" w:rsidRDefault="00995380" w:rsidP="00995380">
      <w:pPr>
        <w:rPr>
          <w:lang w:eastAsia="es-MX"/>
        </w:rPr>
      </w:pPr>
      <w:r w:rsidRPr="00F0186C">
        <w:rPr>
          <w:lang w:eastAsia="es-MX"/>
        </w:rPr>
        <w:t>2) Detallar las adquisiciones de las Actividades de Inversión efectivamente pagadas, respecto</w:t>
      </w:r>
      <w:r>
        <w:rPr>
          <w:lang w:eastAsia="es-MX"/>
        </w:rPr>
        <w:t xml:space="preserve"> </w:t>
      </w:r>
      <w:r w:rsidRPr="00F0186C">
        <w:rPr>
          <w:lang w:eastAsia="es-MX"/>
        </w:rPr>
        <w:t xml:space="preserve">del apartado de aplicación. </w:t>
      </w:r>
    </w:p>
    <w:p w:rsidR="00995380" w:rsidRPr="00F0186C" w:rsidRDefault="00995380" w:rsidP="00995380">
      <w:pPr>
        <w:autoSpaceDE w:val="0"/>
        <w:autoSpaceDN w:val="0"/>
        <w:adjustRightInd w:val="0"/>
        <w:spacing w:before="0" w:after="0" w:line="240" w:lineRule="auto"/>
        <w:rPr>
          <w:rFonts w:eastAsia="Times New Roman" w:cs="Times New Roman"/>
          <w:color w:val="000000"/>
          <w:sz w:val="22"/>
          <w:szCs w:val="22"/>
          <w:lang w:eastAsia="es-MX"/>
        </w:rPr>
      </w:pPr>
    </w:p>
    <w:p w:rsidR="00995380" w:rsidRDefault="00995380" w:rsidP="00995380">
      <w:pPr>
        <w:rPr>
          <w:lang w:eastAsia="es-MX"/>
        </w:rPr>
      </w:pPr>
      <w:r w:rsidRPr="00F0186C">
        <w:rPr>
          <w:lang w:eastAsia="es-MX"/>
        </w:rPr>
        <w:t>La información del cuadro siguiente, fue comparada con el registrado existente en el Sistema Integral</w:t>
      </w:r>
      <w:r>
        <w:rPr>
          <w:lang w:eastAsia="es-MX"/>
        </w:rPr>
        <w:t xml:space="preserve"> </w:t>
      </w:r>
      <w:r w:rsidRPr="00F0186C">
        <w:rPr>
          <w:lang w:eastAsia="es-MX"/>
        </w:rPr>
        <w:t xml:space="preserve">de Gestión de Recursos Gubernamentales denominado SAP, sobre la inversión efectivamente pagada, </w:t>
      </w:r>
      <w:r>
        <w:rPr>
          <w:lang w:eastAsia="es-MX"/>
        </w:rPr>
        <w:t xml:space="preserve"> </w:t>
      </w:r>
      <w:r w:rsidRPr="00F0186C">
        <w:rPr>
          <w:lang w:eastAsia="es-MX"/>
        </w:rPr>
        <w:t>y en relación a los Bienes Muebles e Inmuebles, que se tienen controlados en la Dirección de</w:t>
      </w:r>
      <w:r>
        <w:rPr>
          <w:lang w:eastAsia="es-MX"/>
        </w:rPr>
        <w:t xml:space="preserve"> </w:t>
      </w:r>
      <w:r w:rsidRPr="00F0186C">
        <w:rPr>
          <w:lang w:eastAsia="es-MX"/>
        </w:rPr>
        <w:lastRenderedPageBreak/>
        <w:t>Patrimonio Estatal, con fundamentado en el artículo 35, Fracción II</w:t>
      </w:r>
      <w:r>
        <w:rPr>
          <w:lang w:eastAsia="es-MX"/>
        </w:rPr>
        <w:t xml:space="preserve">, del Reglamento Interior de </w:t>
      </w:r>
      <w:r w:rsidRPr="00F0186C">
        <w:rPr>
          <w:lang w:eastAsia="es-MX"/>
        </w:rPr>
        <w:t>la Secretaría de Finanzas y Administración, así como en el numeral 1.</w:t>
      </w:r>
      <w:r>
        <w:rPr>
          <w:lang w:eastAsia="es-MX"/>
        </w:rPr>
        <w:t xml:space="preserve">3.2, del </w:t>
      </w:r>
      <w:r w:rsidRPr="00F0186C">
        <w:rPr>
          <w:lang w:eastAsia="es-MX"/>
        </w:rPr>
        <w:t>Manual de Organización de la Secretaría de Finanzas y Administración.</w:t>
      </w:r>
    </w:p>
    <w:p w:rsidR="00995380" w:rsidRDefault="00995380" w:rsidP="00995380">
      <w:pPr>
        <w:rPr>
          <w:lang w:eastAsia="es-MX"/>
        </w:rPr>
      </w:pPr>
      <w:r w:rsidRPr="00EC778A">
        <w:rPr>
          <w:noProof/>
          <w:lang w:val="es-MX" w:eastAsia="es-MX"/>
        </w:rPr>
        <w:drawing>
          <wp:inline distT="0" distB="0" distL="0" distR="0" wp14:anchorId="584B0C62" wp14:editId="5226F8D9">
            <wp:extent cx="6350158" cy="25361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4033" cy="2545701"/>
                    </a:xfrm>
                    <a:prstGeom prst="rect">
                      <a:avLst/>
                    </a:prstGeom>
                    <a:noFill/>
                    <a:ln>
                      <a:noFill/>
                    </a:ln>
                  </pic:spPr>
                </pic:pic>
              </a:graphicData>
            </a:graphic>
          </wp:inline>
        </w:drawing>
      </w: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Default="00995380" w:rsidP="00995380">
      <w:pPr>
        <w:rPr>
          <w:lang w:eastAsia="es-MX"/>
        </w:rPr>
      </w:pPr>
    </w:p>
    <w:p w:rsidR="00995380" w:rsidRPr="00EC778A" w:rsidRDefault="00995380" w:rsidP="00995380">
      <w:pPr>
        <w:rPr>
          <w:lang w:eastAsia="es-MX"/>
        </w:rPr>
      </w:pPr>
    </w:p>
    <w:p w:rsidR="00995380" w:rsidRPr="004F06F2" w:rsidRDefault="00995380" w:rsidP="00995380">
      <w:pPr>
        <w:widowControl w:val="0"/>
        <w:kinsoku w:val="0"/>
        <w:spacing w:before="0" w:after="0"/>
        <w:contextualSpacing/>
        <w:rPr>
          <w:rFonts w:eastAsia="Calibri" w:cs="Times New Roman"/>
          <w:b/>
          <w:szCs w:val="36"/>
        </w:rPr>
      </w:pPr>
      <w:r w:rsidRPr="00BE1F8D">
        <w:rPr>
          <w:rFonts w:eastAsia="Calibri" w:cs="Times New Roman"/>
          <w:b/>
          <w:szCs w:val="36"/>
        </w:rPr>
        <w:lastRenderedPageBreak/>
        <w:t>V) CONCILIACIÓN ENTRE LOS INGRESOS PRESUPUESTARIOS Y CONTABLES, ASÍ COMO ENTRE LOS EGRESOS PRESUPUESTARIOS Y LOS GASTOS CONTABLES</w:t>
      </w:r>
    </w:p>
    <w:p w:rsidR="00995380" w:rsidRPr="004F06F2" w:rsidRDefault="00995380" w:rsidP="00995380">
      <w:r>
        <w:rPr>
          <w:noProof/>
          <w:lang w:val="es-MX" w:eastAsia="es-MX"/>
        </w:rPr>
        <w:drawing>
          <wp:inline distT="0" distB="0" distL="0" distR="0" wp14:anchorId="3C25703A" wp14:editId="034F4148">
            <wp:extent cx="6297930" cy="504761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7930" cy="5047615"/>
                    </a:xfrm>
                    <a:prstGeom prst="rect">
                      <a:avLst/>
                    </a:prstGeom>
                    <a:noFill/>
                  </pic:spPr>
                </pic:pic>
              </a:graphicData>
            </a:graphic>
          </wp:inline>
        </w:drawing>
      </w:r>
    </w:p>
    <w:p w:rsidR="00995380" w:rsidRPr="004F06F2" w:rsidRDefault="00995380" w:rsidP="00995380"/>
    <w:p w:rsidR="00995380" w:rsidRPr="004F06F2" w:rsidRDefault="00995380" w:rsidP="00995380">
      <w:r>
        <w:rPr>
          <w:noProof/>
          <w:lang w:val="es-MX" w:eastAsia="es-MX"/>
        </w:rPr>
        <w:lastRenderedPageBreak/>
        <w:drawing>
          <wp:inline distT="0" distB="0" distL="0" distR="0" wp14:anchorId="12882354" wp14:editId="0BBFFB87">
            <wp:extent cx="6352540" cy="73704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2540" cy="7370445"/>
                    </a:xfrm>
                    <a:prstGeom prst="rect">
                      <a:avLst/>
                    </a:prstGeom>
                    <a:noFill/>
                  </pic:spPr>
                </pic:pic>
              </a:graphicData>
            </a:graphic>
          </wp:inline>
        </w:drawing>
      </w:r>
    </w:p>
    <w:p w:rsidR="00995380" w:rsidRDefault="00995380" w:rsidP="00995380"/>
    <w:p w:rsidR="00995380" w:rsidRDefault="00995380" w:rsidP="00995380"/>
    <w:p w:rsidR="00995380" w:rsidRPr="004F06F2" w:rsidRDefault="00995380" w:rsidP="00995380"/>
    <w:p w:rsidR="00995380" w:rsidRPr="004F06F2" w:rsidRDefault="00995380" w:rsidP="00995380">
      <w:pPr>
        <w:spacing w:before="0" w:after="0"/>
        <w:jc w:val="center"/>
        <w:rPr>
          <w:rFonts w:eastAsia="Calibri" w:cs="Times New Roman"/>
          <w:b/>
          <w:sz w:val="28"/>
          <w:szCs w:val="28"/>
        </w:rPr>
      </w:pPr>
      <w:r w:rsidRPr="004F06F2">
        <w:rPr>
          <w:rFonts w:eastAsia="Calibri" w:cs="Times New Roman"/>
          <w:b/>
          <w:sz w:val="28"/>
          <w:szCs w:val="28"/>
        </w:rPr>
        <w:t>c) NOTAS DE MEMORIA (CUENTAS DE ORDEN)</w:t>
      </w:r>
    </w:p>
    <w:p w:rsidR="00995380" w:rsidRPr="008A4F67" w:rsidRDefault="00995380" w:rsidP="00995380">
      <w:pPr>
        <w:rPr>
          <w:sz w:val="22"/>
        </w:rPr>
      </w:pPr>
      <w:r w:rsidRPr="008A4F67">
        <w:rPr>
          <w:sz w:val="22"/>
        </w:rPr>
        <w:t>Contiene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rsidR="00995380" w:rsidRPr="008A4F67" w:rsidRDefault="00995380" w:rsidP="00995380">
      <w:pPr>
        <w:rPr>
          <w:sz w:val="22"/>
        </w:rPr>
      </w:pPr>
    </w:p>
    <w:p w:rsidR="00995380" w:rsidRPr="008A4F67" w:rsidRDefault="00995380" w:rsidP="00995380">
      <w:pPr>
        <w:rPr>
          <w:sz w:val="22"/>
        </w:rPr>
      </w:pPr>
      <w:r w:rsidRPr="008A4F67">
        <w:rPr>
          <w:sz w:val="22"/>
        </w:rPr>
        <w:t>Las cuentas que se manejan para efectos de estas Notas son las siguientes:</w:t>
      </w:r>
    </w:p>
    <w:p w:rsidR="00995380" w:rsidRPr="008A4F67" w:rsidRDefault="00995380" w:rsidP="00995380">
      <w:pPr>
        <w:rPr>
          <w:b/>
          <w:sz w:val="22"/>
        </w:rPr>
      </w:pPr>
      <w:r w:rsidRPr="008A4F67">
        <w:rPr>
          <w:b/>
          <w:sz w:val="22"/>
        </w:rPr>
        <w:t>Cuentas de Orden Contables:</w:t>
      </w:r>
    </w:p>
    <w:p w:rsidR="00995380" w:rsidRPr="008A4F67" w:rsidRDefault="00995380" w:rsidP="00995380">
      <w:pPr>
        <w:rPr>
          <w:b/>
          <w:sz w:val="22"/>
        </w:rPr>
      </w:pPr>
      <w:r w:rsidRPr="008A4F67">
        <w:rPr>
          <w:b/>
          <w:sz w:val="22"/>
        </w:rPr>
        <w:t>Valores</w:t>
      </w:r>
    </w:p>
    <w:p w:rsidR="00995380" w:rsidRPr="008A4F67" w:rsidRDefault="00995380" w:rsidP="00995380">
      <w:pPr>
        <w:rPr>
          <w:sz w:val="22"/>
        </w:rPr>
      </w:pPr>
      <w:r w:rsidRPr="008A4F67">
        <w:rPr>
          <w:sz w:val="22"/>
        </w:rPr>
        <w:t>Sin información que revelar durante el periodo que se informa.</w:t>
      </w:r>
    </w:p>
    <w:p w:rsidR="00995380" w:rsidRPr="008A4F67" w:rsidRDefault="00995380" w:rsidP="00995380">
      <w:pPr>
        <w:rPr>
          <w:b/>
          <w:sz w:val="22"/>
        </w:rPr>
      </w:pPr>
      <w:r w:rsidRPr="008A4F67">
        <w:rPr>
          <w:b/>
          <w:sz w:val="22"/>
        </w:rPr>
        <w:t>Emisión de Obligaciones</w:t>
      </w:r>
    </w:p>
    <w:p w:rsidR="00995380" w:rsidRPr="008A4F67" w:rsidRDefault="00995380" w:rsidP="00995380">
      <w:pPr>
        <w:rPr>
          <w:sz w:val="22"/>
        </w:rPr>
      </w:pPr>
      <w:r w:rsidRPr="008A4F67">
        <w:rPr>
          <w:sz w:val="22"/>
        </w:rPr>
        <w:t>Sin información que revelar durante el periodo que se informa.</w:t>
      </w:r>
    </w:p>
    <w:p w:rsidR="00995380" w:rsidRPr="008A4F67" w:rsidRDefault="00995380" w:rsidP="00995380">
      <w:pPr>
        <w:rPr>
          <w:b/>
          <w:sz w:val="22"/>
        </w:rPr>
      </w:pPr>
      <w:r w:rsidRPr="008A4F67">
        <w:rPr>
          <w:b/>
          <w:sz w:val="22"/>
        </w:rPr>
        <w:t>Avales y Garantías</w:t>
      </w:r>
    </w:p>
    <w:p w:rsidR="00995380" w:rsidRPr="008A4F67" w:rsidRDefault="00995380" w:rsidP="00995380">
      <w:pPr>
        <w:rPr>
          <w:sz w:val="22"/>
        </w:rPr>
      </w:pPr>
      <w:r w:rsidRPr="008A4F67">
        <w:rPr>
          <w:sz w:val="22"/>
        </w:rPr>
        <w:t>Sin información que revelar durante el periodo que se informa.</w:t>
      </w:r>
    </w:p>
    <w:p w:rsidR="00995380" w:rsidRPr="008A4F67" w:rsidRDefault="00995380" w:rsidP="00995380">
      <w:pPr>
        <w:rPr>
          <w:b/>
          <w:sz w:val="22"/>
        </w:rPr>
      </w:pPr>
      <w:r w:rsidRPr="008A4F67">
        <w:rPr>
          <w:b/>
          <w:sz w:val="22"/>
        </w:rPr>
        <w:t>Juicios</w:t>
      </w:r>
    </w:p>
    <w:p w:rsidR="00995380" w:rsidRPr="008A4F67" w:rsidRDefault="00995380" w:rsidP="00995380">
      <w:pPr>
        <w:rPr>
          <w:sz w:val="22"/>
        </w:rPr>
      </w:pPr>
      <w:r w:rsidRPr="008A4F67">
        <w:rPr>
          <w:sz w:val="22"/>
        </w:rPr>
        <w:t>Sin información que revelar durante el periodo que se informa.</w:t>
      </w:r>
    </w:p>
    <w:p w:rsidR="00995380" w:rsidRPr="008A4F67" w:rsidRDefault="00995380" w:rsidP="00995380">
      <w:pPr>
        <w:rPr>
          <w:b/>
          <w:sz w:val="22"/>
        </w:rPr>
      </w:pPr>
      <w:r w:rsidRPr="008A4F67">
        <w:rPr>
          <w:b/>
          <w:sz w:val="22"/>
        </w:rPr>
        <w:t>Inversión Mediante Proyectos para Prestación de Servicios (PPS) y Similares</w:t>
      </w:r>
    </w:p>
    <w:p w:rsidR="00995380" w:rsidRPr="008A4F67" w:rsidRDefault="00995380" w:rsidP="00995380">
      <w:pPr>
        <w:rPr>
          <w:sz w:val="22"/>
        </w:rPr>
      </w:pPr>
      <w:r w:rsidRPr="008A4F67">
        <w:rPr>
          <w:sz w:val="22"/>
        </w:rPr>
        <w:t>Sin información que revelar durante el periodo que se informa.</w:t>
      </w:r>
    </w:p>
    <w:p w:rsidR="00995380" w:rsidRPr="008A4F67" w:rsidRDefault="00995380" w:rsidP="00995380">
      <w:pPr>
        <w:rPr>
          <w:b/>
          <w:sz w:val="22"/>
        </w:rPr>
      </w:pPr>
      <w:r w:rsidRPr="008A4F67">
        <w:rPr>
          <w:b/>
          <w:sz w:val="22"/>
        </w:rPr>
        <w:t>Bienes Concesionados o en Comodato</w:t>
      </w:r>
    </w:p>
    <w:p w:rsidR="00995380" w:rsidRPr="008A4F67" w:rsidRDefault="00995380" w:rsidP="00995380">
      <w:pPr>
        <w:rPr>
          <w:sz w:val="22"/>
        </w:rPr>
      </w:pPr>
      <w:r w:rsidRPr="008A4F67">
        <w:rPr>
          <w:sz w:val="22"/>
        </w:rPr>
        <w:t>Sin información que revelar durante el periodo que se informa.</w:t>
      </w:r>
    </w:p>
    <w:p w:rsidR="00995380" w:rsidRDefault="00995380" w:rsidP="00995380"/>
    <w:p w:rsidR="00995380" w:rsidRDefault="00995380" w:rsidP="00995380">
      <w:pPr>
        <w:spacing w:before="0" w:after="0"/>
        <w:rPr>
          <w:rFonts w:eastAsia="Calibri" w:cs="Times New Roman"/>
          <w:bCs/>
          <w:sz w:val="22"/>
          <w:szCs w:val="22"/>
          <w:lang w:val="es-MX"/>
        </w:rPr>
      </w:pPr>
      <w:r w:rsidRPr="00035D40">
        <w:rPr>
          <w:rFonts w:eastAsia="Calibri" w:cs="Times New Roman"/>
          <w:bCs/>
          <w:sz w:val="22"/>
          <w:szCs w:val="22"/>
          <w:lang w:val="es-MX"/>
        </w:rPr>
        <w:t>Se informa lo siguiente:</w:t>
      </w:r>
    </w:p>
    <w:p w:rsidR="00995380" w:rsidRPr="00035D40" w:rsidRDefault="00995380" w:rsidP="00995380">
      <w:pPr>
        <w:spacing w:before="0" w:after="0"/>
        <w:rPr>
          <w:rFonts w:eastAsia="Calibri" w:cs="Times New Roman"/>
          <w:bCs/>
          <w:sz w:val="22"/>
          <w:szCs w:val="22"/>
          <w:lang w:val="es-MX"/>
        </w:rPr>
      </w:pPr>
    </w:p>
    <w:p w:rsidR="00995380" w:rsidRPr="00035D40" w:rsidRDefault="00995380" w:rsidP="00995380">
      <w:pPr>
        <w:spacing w:before="0" w:after="0"/>
        <w:rPr>
          <w:rFonts w:eastAsia="Calibri" w:cs="Times New Roman"/>
          <w:b/>
          <w:bCs/>
          <w:sz w:val="22"/>
          <w:szCs w:val="22"/>
          <w:lang w:val="es-MX"/>
        </w:rPr>
      </w:pPr>
      <w:r w:rsidRPr="00035D40">
        <w:rPr>
          <w:rFonts w:eastAsia="Calibri" w:cs="Times New Roman"/>
          <w:b/>
          <w:bCs/>
          <w:sz w:val="22"/>
          <w:szCs w:val="22"/>
          <w:lang w:val="es-MX"/>
        </w:rPr>
        <w:lastRenderedPageBreak/>
        <w:t>1. Los valores en custodia de instrumentos prestados a formadores de mercado e instrumentos de crédito recibidos en garantía de los formadores de mercado u otros.</w:t>
      </w:r>
    </w:p>
    <w:p w:rsidR="00995380" w:rsidRDefault="00995380" w:rsidP="0099538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rsidR="00995380" w:rsidRDefault="00995380" w:rsidP="00995380">
      <w:pPr>
        <w:spacing w:before="0" w:after="0"/>
        <w:rPr>
          <w:rFonts w:eastAsia="Calibri" w:cs="Times New Roman"/>
          <w:bCs/>
          <w:sz w:val="22"/>
          <w:szCs w:val="22"/>
          <w:lang w:val="es-MX"/>
        </w:rPr>
      </w:pPr>
    </w:p>
    <w:p w:rsidR="00995380" w:rsidRPr="00035D40" w:rsidRDefault="00995380" w:rsidP="00995380">
      <w:pPr>
        <w:spacing w:before="0" w:after="0"/>
        <w:rPr>
          <w:rFonts w:eastAsia="Calibri" w:cs="Times New Roman"/>
          <w:bCs/>
          <w:sz w:val="22"/>
          <w:szCs w:val="22"/>
          <w:lang w:val="es-MX"/>
        </w:rPr>
      </w:pPr>
    </w:p>
    <w:p w:rsidR="00995380" w:rsidRPr="00035D40" w:rsidRDefault="00995380" w:rsidP="00995380">
      <w:pPr>
        <w:spacing w:before="0" w:after="0"/>
        <w:rPr>
          <w:rFonts w:eastAsia="Calibri" w:cs="Times New Roman"/>
          <w:b/>
          <w:bCs/>
          <w:sz w:val="22"/>
          <w:szCs w:val="22"/>
          <w:lang w:val="es-MX"/>
        </w:rPr>
      </w:pPr>
      <w:r w:rsidRPr="00035D40">
        <w:rPr>
          <w:rFonts w:eastAsia="Calibri" w:cs="Times New Roman"/>
          <w:b/>
          <w:bCs/>
          <w:sz w:val="22"/>
          <w:szCs w:val="22"/>
          <w:lang w:val="es-MX"/>
        </w:rPr>
        <w:t>2. Por tipo de emisión de instrumento: monto, tasa y vencimiento.</w:t>
      </w:r>
    </w:p>
    <w:p w:rsidR="00995380" w:rsidRDefault="00995380" w:rsidP="0099538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rsidR="00995380" w:rsidRPr="00035D40" w:rsidRDefault="00995380" w:rsidP="00995380">
      <w:pPr>
        <w:spacing w:before="0" w:after="0"/>
        <w:rPr>
          <w:rFonts w:eastAsia="Calibri" w:cs="Times New Roman"/>
          <w:bCs/>
          <w:sz w:val="22"/>
          <w:szCs w:val="22"/>
          <w:lang w:val="es-MX"/>
        </w:rPr>
      </w:pPr>
    </w:p>
    <w:p w:rsidR="00995380" w:rsidRPr="00035D40" w:rsidRDefault="00995380" w:rsidP="00995380">
      <w:pPr>
        <w:spacing w:before="0" w:after="0"/>
        <w:rPr>
          <w:rFonts w:eastAsia="Calibri" w:cs="Times New Roman"/>
          <w:b/>
          <w:bCs/>
          <w:sz w:val="22"/>
          <w:szCs w:val="22"/>
          <w:lang w:val="es-MX"/>
        </w:rPr>
      </w:pPr>
      <w:r w:rsidRPr="00035D40">
        <w:rPr>
          <w:rFonts w:eastAsia="Calibri" w:cs="Times New Roman"/>
          <w:b/>
          <w:bCs/>
          <w:sz w:val="22"/>
          <w:szCs w:val="22"/>
          <w:lang w:val="es-MX"/>
        </w:rPr>
        <w:t>3. Los contratos firmados de construcciones por tipo de contrato.</w:t>
      </w:r>
    </w:p>
    <w:p w:rsidR="00995380" w:rsidRPr="00035D40" w:rsidRDefault="00995380" w:rsidP="00995380">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rsidR="00995380" w:rsidRPr="00035D40" w:rsidRDefault="00995380" w:rsidP="00995380">
      <w:pPr>
        <w:spacing w:before="0" w:after="0"/>
        <w:rPr>
          <w:rFonts w:eastAsia="Calibri" w:cs="Times New Roman"/>
          <w:bCs/>
          <w:sz w:val="22"/>
          <w:szCs w:val="22"/>
          <w:lang w:val="es-MX"/>
        </w:rPr>
      </w:pPr>
    </w:p>
    <w:p w:rsidR="00995380" w:rsidRPr="00035D40" w:rsidRDefault="00995380" w:rsidP="00995380">
      <w:pPr>
        <w:spacing w:before="0" w:after="0"/>
        <w:rPr>
          <w:rFonts w:eastAsia="Calibri" w:cs="Times New Roman"/>
          <w:bCs/>
          <w:sz w:val="22"/>
          <w:szCs w:val="22"/>
          <w:lang w:val="es-MX"/>
        </w:rPr>
      </w:pPr>
      <w:r w:rsidRPr="00035D40">
        <w:rPr>
          <w:rFonts w:eastAsia="Calibri" w:cs="Times New Roman"/>
          <w:bCs/>
          <w:sz w:val="22"/>
          <w:szCs w:val="22"/>
          <w:lang w:val="es-MX"/>
        </w:rPr>
        <w:t>No se presentan otro tipo de cuentas de orden contable.</w:t>
      </w:r>
    </w:p>
    <w:p w:rsidR="00995380" w:rsidRPr="00035D40" w:rsidRDefault="00995380" w:rsidP="00995380">
      <w:pPr>
        <w:spacing w:before="0" w:after="0"/>
        <w:rPr>
          <w:rFonts w:eastAsia="Calibri" w:cs="Times New Roman"/>
          <w:bCs/>
          <w:sz w:val="22"/>
          <w:szCs w:val="22"/>
          <w:lang w:val="es-MX"/>
        </w:rPr>
      </w:pPr>
    </w:p>
    <w:p w:rsidR="00995380" w:rsidRDefault="00995380" w:rsidP="00995380">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Presupuestario</w:t>
      </w:r>
    </w:p>
    <w:p w:rsidR="00995380" w:rsidRPr="00035D40" w:rsidRDefault="00995380" w:rsidP="00995380">
      <w:pPr>
        <w:spacing w:before="0" w:after="0"/>
        <w:rPr>
          <w:rFonts w:eastAsia="Calibri" w:cs="Times New Roman"/>
          <w:b/>
          <w:bCs/>
          <w:sz w:val="22"/>
          <w:szCs w:val="22"/>
          <w:lang w:val="es-MX"/>
        </w:rPr>
      </w:pPr>
    </w:p>
    <w:p w:rsidR="00995380" w:rsidRDefault="00995380" w:rsidP="00995380">
      <w:pPr>
        <w:spacing w:before="0" w:after="0"/>
        <w:rPr>
          <w:rFonts w:eastAsia="Calibri" w:cs="Times New Roman"/>
          <w:b/>
          <w:bCs/>
          <w:sz w:val="22"/>
          <w:szCs w:val="22"/>
          <w:lang w:val="es-MX"/>
        </w:rPr>
      </w:pPr>
      <w:r w:rsidRPr="00035D40">
        <w:rPr>
          <w:rFonts w:eastAsia="Calibri" w:cs="Times New Roman"/>
          <w:b/>
          <w:bCs/>
          <w:sz w:val="22"/>
          <w:szCs w:val="22"/>
          <w:lang w:val="es-MX"/>
        </w:rPr>
        <w:t>Cuentas de ingresos</w:t>
      </w:r>
    </w:p>
    <w:p w:rsidR="00995380" w:rsidRPr="00035D40" w:rsidRDefault="00995380" w:rsidP="00995380">
      <w:pPr>
        <w:spacing w:before="0" w:after="0"/>
        <w:rPr>
          <w:rFonts w:eastAsia="Calibri" w:cs="Times New Roman"/>
          <w:b/>
          <w:bCs/>
          <w:sz w:val="22"/>
          <w:szCs w:val="22"/>
          <w:lang w:val="es-MX"/>
        </w:rPr>
      </w:pPr>
    </w:p>
    <w:p w:rsidR="00995380" w:rsidRDefault="00995380" w:rsidP="00995380">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Ingresos</w:t>
      </w:r>
    </w:p>
    <w:p w:rsidR="00995380" w:rsidRPr="00035D40" w:rsidRDefault="00995380" w:rsidP="00995380">
      <w:pPr>
        <w:spacing w:before="0" w:after="0"/>
        <w:rPr>
          <w:rFonts w:eastAsia="Calibri" w:cs="Times New Roman"/>
          <w:bCs/>
          <w:sz w:val="22"/>
          <w:szCs w:val="22"/>
          <w:lang w:val="es-MX"/>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995380" w:rsidRPr="00035D40" w:rsidTr="000858E1">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95380" w:rsidRPr="00035D40" w:rsidRDefault="00995380" w:rsidP="000858E1">
            <w:pPr>
              <w:spacing w:before="0" w:after="0"/>
              <w:rPr>
                <w:rFonts w:eastAsia="Calibri" w:cs="Times New Roman"/>
                <w:b/>
                <w:bCs/>
                <w:sz w:val="22"/>
                <w:szCs w:val="22"/>
              </w:rPr>
            </w:pPr>
            <w:r w:rsidRPr="00035D40">
              <w:rPr>
                <w:rFonts w:eastAsia="Calibri" w:cs="Times New Roman"/>
                <w:b/>
                <w:bCs/>
                <w:sz w:val="22"/>
                <w:szCs w:val="22"/>
              </w:rPr>
              <w:t>Cuentas de Orden Presupuestarias de Ingresos</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95380" w:rsidRPr="00035D40" w:rsidRDefault="00995380" w:rsidP="000858E1">
            <w:pPr>
              <w:spacing w:before="0" w:after="0"/>
              <w:rPr>
                <w:rFonts w:eastAsia="Calibri" w:cs="Times New Roman"/>
                <w:b/>
                <w:bCs/>
                <w:sz w:val="22"/>
                <w:szCs w:val="22"/>
              </w:rPr>
            </w:pPr>
            <w:r w:rsidRPr="00035D40">
              <w:rPr>
                <w:rFonts w:eastAsia="Calibri" w:cs="Times New Roman"/>
                <w:b/>
                <w:bCs/>
                <w:sz w:val="22"/>
                <w:szCs w:val="22"/>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95380" w:rsidRPr="00035D40" w:rsidRDefault="00995380" w:rsidP="000858E1">
            <w:pPr>
              <w:spacing w:before="0" w:after="0"/>
              <w:rPr>
                <w:rFonts w:eastAsia="Calibri" w:cs="Times New Roman"/>
                <w:b/>
                <w:bCs/>
                <w:sz w:val="22"/>
                <w:szCs w:val="22"/>
              </w:rPr>
            </w:pPr>
            <w:r w:rsidRPr="00035D40">
              <w:rPr>
                <w:rFonts w:eastAsia="Calibri" w:cs="Times New Roman"/>
                <w:b/>
                <w:bCs/>
                <w:sz w:val="22"/>
                <w:szCs w:val="22"/>
              </w:rPr>
              <w:t>202</w:t>
            </w:r>
            <w:r>
              <w:rPr>
                <w:rFonts w:eastAsia="Calibri" w:cs="Times New Roman"/>
                <w:b/>
                <w:bCs/>
                <w:sz w:val="22"/>
                <w:szCs w:val="22"/>
              </w:rPr>
              <w:t>5</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035D40">
              <w:rPr>
                <w:rFonts w:eastAsia="Calibri" w:cs="Times New Roman"/>
                <w:bCs/>
                <w:sz w:val="22"/>
                <w:szCs w:val="22"/>
              </w:rPr>
              <w:t>Ley de Ingresos Estimada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317B47">
              <w:rPr>
                <w:rFonts w:eastAsia="Calibri" w:cs="Times New Roman"/>
                <w:bCs/>
                <w:sz w:val="22"/>
                <w:szCs w:val="22"/>
              </w:rPr>
              <w:t>98,935,474,315.03</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035D40">
              <w:rPr>
                <w:rFonts w:eastAsia="Calibri" w:cs="Times New Roman"/>
                <w:bCs/>
                <w:sz w:val="22"/>
                <w:szCs w:val="22"/>
              </w:rPr>
              <w:t>Ley de Ingresos por Ejecutar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Default="00995380" w:rsidP="000858E1">
            <w:pPr>
              <w:spacing w:before="0" w:after="0"/>
              <w:rPr>
                <w:rFonts w:eastAsia="Calibri" w:cs="Times New Roman"/>
                <w:bCs/>
                <w:sz w:val="22"/>
                <w:szCs w:val="22"/>
              </w:rPr>
            </w:pPr>
            <w:r>
              <w:rPr>
                <w:rFonts w:eastAsia="Calibri" w:cs="Times New Roman"/>
                <w:bCs/>
                <w:sz w:val="22"/>
                <w:szCs w:val="22"/>
              </w:rPr>
              <w:t>0.00</w:t>
            </w:r>
          </w:p>
          <w:p w:rsidR="00995380" w:rsidRPr="00035D40" w:rsidRDefault="00995380" w:rsidP="000858E1">
            <w:pPr>
              <w:spacing w:before="0" w:after="0"/>
              <w:rPr>
                <w:rFonts w:eastAsia="Calibri" w:cs="Times New Roman"/>
                <w:bCs/>
                <w:sz w:val="22"/>
                <w:szCs w:val="22"/>
              </w:rPr>
            </w:pP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035D40">
              <w:rPr>
                <w:rFonts w:eastAsia="Calibri" w:cs="Times New Roman"/>
                <w:bCs/>
                <w:sz w:val="22"/>
                <w:szCs w:val="22"/>
              </w:rPr>
              <w:t>Modificaciones a la Ley de Ingresos Estimada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317B47">
              <w:rPr>
                <w:rFonts w:eastAsia="Calibri" w:cs="Times New Roman"/>
                <w:bCs/>
                <w:sz w:val="22"/>
                <w:szCs w:val="22"/>
              </w:rPr>
              <w:t>101,381,109,137.23</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035D40">
              <w:rPr>
                <w:rFonts w:eastAsia="Calibri" w:cs="Times New Roman"/>
                <w:bCs/>
                <w:sz w:val="22"/>
                <w:szCs w:val="22"/>
              </w:rPr>
              <w:t>Ley de Ingresos Devengada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317B47">
              <w:rPr>
                <w:rFonts w:eastAsia="Calibri" w:cs="Times New Roman"/>
                <w:bCs/>
                <w:sz w:val="22"/>
                <w:szCs w:val="22"/>
              </w:rPr>
              <w:t>27,724,725,088.54</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035D40">
              <w:rPr>
                <w:rFonts w:eastAsia="Calibri" w:cs="Times New Roman"/>
                <w:bCs/>
                <w:sz w:val="22"/>
                <w:szCs w:val="22"/>
              </w:rPr>
              <w:t>Ley de Ingresos Recaudada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rPr>
            </w:pPr>
            <w:r w:rsidRPr="00317B47">
              <w:rPr>
                <w:rFonts w:eastAsia="Calibri" w:cs="Times New Roman"/>
                <w:bCs/>
                <w:sz w:val="22"/>
                <w:szCs w:val="22"/>
              </w:rPr>
              <w:t>27,724,725,088.54</w:t>
            </w:r>
          </w:p>
        </w:tc>
      </w:tr>
    </w:tbl>
    <w:p w:rsidR="00995380" w:rsidRDefault="00995380" w:rsidP="00995380">
      <w:pPr>
        <w:spacing w:before="0" w:after="0"/>
        <w:rPr>
          <w:rFonts w:eastAsia="Calibri" w:cs="Times New Roman"/>
          <w:b/>
          <w:bCs/>
          <w:sz w:val="22"/>
          <w:szCs w:val="22"/>
          <w:lang w:val="es-MX"/>
        </w:rPr>
      </w:pPr>
    </w:p>
    <w:p w:rsidR="00995380" w:rsidRDefault="00995380" w:rsidP="00995380">
      <w:pPr>
        <w:spacing w:before="0" w:after="0"/>
        <w:rPr>
          <w:rFonts w:eastAsia="Calibri" w:cs="Times New Roman"/>
          <w:b/>
          <w:bCs/>
          <w:sz w:val="22"/>
          <w:szCs w:val="22"/>
          <w:lang w:val="es-MX"/>
        </w:rPr>
      </w:pPr>
    </w:p>
    <w:p w:rsidR="00995380" w:rsidRDefault="00995380" w:rsidP="00995380">
      <w:pPr>
        <w:spacing w:before="0" w:after="0"/>
        <w:rPr>
          <w:rFonts w:eastAsia="Calibri" w:cs="Times New Roman"/>
          <w:b/>
          <w:bCs/>
          <w:sz w:val="22"/>
          <w:szCs w:val="22"/>
          <w:lang w:val="es-MX"/>
        </w:rPr>
      </w:pPr>
    </w:p>
    <w:p w:rsidR="00995380" w:rsidRDefault="00995380" w:rsidP="00995380">
      <w:pPr>
        <w:spacing w:before="0" w:after="0"/>
        <w:rPr>
          <w:rFonts w:eastAsia="Calibri" w:cs="Times New Roman"/>
          <w:b/>
          <w:bCs/>
          <w:sz w:val="22"/>
          <w:szCs w:val="22"/>
          <w:lang w:val="es-MX"/>
        </w:rPr>
      </w:pPr>
    </w:p>
    <w:p w:rsidR="00995380" w:rsidRDefault="00995380" w:rsidP="00995380">
      <w:pPr>
        <w:spacing w:before="0" w:after="0"/>
        <w:rPr>
          <w:rFonts w:eastAsia="Calibri" w:cs="Times New Roman"/>
          <w:b/>
          <w:bCs/>
          <w:sz w:val="22"/>
          <w:szCs w:val="22"/>
          <w:lang w:val="es-MX"/>
        </w:rPr>
      </w:pPr>
    </w:p>
    <w:p w:rsidR="00995380" w:rsidRPr="00035D40" w:rsidRDefault="00995380" w:rsidP="00995380">
      <w:pPr>
        <w:spacing w:before="0" w:after="0"/>
        <w:rPr>
          <w:rFonts w:eastAsia="Calibri" w:cs="Times New Roman"/>
          <w:b/>
          <w:bCs/>
          <w:sz w:val="22"/>
          <w:szCs w:val="22"/>
          <w:lang w:val="es-MX"/>
        </w:rPr>
      </w:pPr>
      <w:r w:rsidRPr="00035D40">
        <w:rPr>
          <w:rFonts w:eastAsia="Calibri" w:cs="Times New Roman"/>
          <w:b/>
          <w:bCs/>
          <w:sz w:val="22"/>
          <w:szCs w:val="22"/>
          <w:lang w:val="es-MX"/>
        </w:rPr>
        <w:lastRenderedPageBreak/>
        <w:t>Cuentas de egresos</w:t>
      </w:r>
    </w:p>
    <w:p w:rsidR="00995380" w:rsidRDefault="00995380" w:rsidP="00995380">
      <w:pPr>
        <w:spacing w:before="0" w:after="0"/>
        <w:rPr>
          <w:rFonts w:eastAsia="Calibri" w:cs="Times New Roman"/>
          <w:bCs/>
          <w:sz w:val="22"/>
          <w:szCs w:val="22"/>
          <w:lang w:val="es-MX"/>
        </w:rPr>
      </w:pPr>
    </w:p>
    <w:p w:rsidR="00995380" w:rsidRDefault="00995380" w:rsidP="00995380">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egresos</w:t>
      </w:r>
    </w:p>
    <w:p w:rsidR="00995380" w:rsidRDefault="00995380" w:rsidP="00995380">
      <w:pPr>
        <w:spacing w:before="0" w:after="0"/>
        <w:rPr>
          <w:rFonts w:eastAsia="Calibri" w:cs="Times New Roman"/>
          <w:bCs/>
          <w:sz w:val="22"/>
          <w:szCs w:val="22"/>
          <w:lang w:val="es-MX"/>
        </w:rPr>
      </w:pPr>
    </w:p>
    <w:p w:rsidR="00995380" w:rsidRPr="00035D40" w:rsidRDefault="00995380" w:rsidP="00995380">
      <w:pPr>
        <w:spacing w:before="0" w:after="0"/>
        <w:rPr>
          <w:rFonts w:eastAsia="Calibri" w:cs="Times New Roman"/>
          <w:bCs/>
          <w:sz w:val="22"/>
          <w:szCs w:val="22"/>
          <w:lang w:val="es-MX"/>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995380" w:rsidRPr="00035D40" w:rsidTr="000858E1">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95380" w:rsidRPr="00035D40" w:rsidRDefault="00995380" w:rsidP="000858E1">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Presupuestarias de Egresos</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95380" w:rsidRPr="00035D40" w:rsidRDefault="00995380" w:rsidP="000858E1">
            <w:pPr>
              <w:spacing w:before="0" w:after="0"/>
              <w:rPr>
                <w:rFonts w:eastAsia="Calibri" w:cs="Times New Roman"/>
                <w:b/>
                <w:bCs/>
                <w:sz w:val="22"/>
                <w:szCs w:val="22"/>
                <w:lang w:val="es-MX"/>
              </w:rPr>
            </w:pPr>
            <w:r w:rsidRPr="00035D40">
              <w:rPr>
                <w:rFonts w:eastAsia="Calibri" w:cs="Times New Roman"/>
                <w:b/>
                <w:bCs/>
                <w:sz w:val="22"/>
                <w:szCs w:val="22"/>
                <w:lang w:val="es-MX"/>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995380" w:rsidRPr="00035D40" w:rsidRDefault="00995380" w:rsidP="000858E1">
            <w:pPr>
              <w:spacing w:before="0" w:after="0"/>
              <w:rPr>
                <w:rFonts w:eastAsia="Calibri" w:cs="Times New Roman"/>
                <w:b/>
                <w:bCs/>
                <w:sz w:val="22"/>
                <w:szCs w:val="22"/>
                <w:lang w:val="es-MX"/>
              </w:rPr>
            </w:pPr>
            <w:r w:rsidRPr="00035D40">
              <w:rPr>
                <w:rFonts w:eastAsia="Calibri" w:cs="Times New Roman"/>
                <w:b/>
                <w:bCs/>
                <w:sz w:val="22"/>
                <w:szCs w:val="22"/>
                <w:lang w:val="es-MX"/>
              </w:rPr>
              <w:t>202</w:t>
            </w:r>
            <w:r>
              <w:rPr>
                <w:rFonts w:eastAsia="Calibri" w:cs="Times New Roman"/>
                <w:b/>
                <w:bCs/>
                <w:sz w:val="22"/>
                <w:szCs w:val="22"/>
                <w:lang w:val="es-MX"/>
              </w:rPr>
              <w:t>5</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035D40">
              <w:rPr>
                <w:rFonts w:eastAsia="Calibri" w:cs="Times New Roman"/>
                <w:bCs/>
                <w:sz w:val="22"/>
                <w:szCs w:val="22"/>
                <w:lang w:val="es-MX"/>
              </w:rPr>
              <w:t>Presupuesto de Egresos Aprobado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317B47">
              <w:rPr>
                <w:rFonts w:eastAsia="Calibri" w:cs="Times New Roman"/>
                <w:bCs/>
                <w:sz w:val="22"/>
                <w:szCs w:val="22"/>
                <w:lang w:val="es-MX"/>
              </w:rPr>
              <w:t>98,935,474,315.00</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035D40">
              <w:rPr>
                <w:rFonts w:eastAsia="Calibri" w:cs="Times New Roman"/>
                <w:bCs/>
                <w:sz w:val="22"/>
                <w:szCs w:val="22"/>
                <w:lang w:val="es-MX"/>
              </w:rPr>
              <w:t>Presupuesto de Egresos por Ejercer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Default="00995380" w:rsidP="000858E1">
            <w:pPr>
              <w:spacing w:before="0" w:after="0"/>
              <w:rPr>
                <w:rFonts w:eastAsia="Calibri" w:cs="Times New Roman"/>
                <w:bCs/>
                <w:sz w:val="22"/>
                <w:szCs w:val="22"/>
                <w:lang w:val="es-MX"/>
              </w:rPr>
            </w:pPr>
            <w:r>
              <w:rPr>
                <w:rFonts w:eastAsia="Calibri" w:cs="Times New Roman"/>
                <w:bCs/>
                <w:sz w:val="22"/>
                <w:szCs w:val="22"/>
                <w:lang w:val="es-MX"/>
              </w:rPr>
              <w:t>0.00</w:t>
            </w:r>
          </w:p>
          <w:p w:rsidR="00995380" w:rsidRPr="00035D40" w:rsidRDefault="00995380" w:rsidP="000858E1">
            <w:pPr>
              <w:spacing w:before="0" w:after="0"/>
              <w:rPr>
                <w:rFonts w:eastAsia="Calibri" w:cs="Times New Roman"/>
                <w:bCs/>
                <w:sz w:val="22"/>
                <w:szCs w:val="22"/>
                <w:lang w:val="es-MX"/>
              </w:rPr>
            </w:pP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035D40">
              <w:rPr>
                <w:rFonts w:eastAsia="Calibri" w:cs="Times New Roman"/>
                <w:bCs/>
                <w:sz w:val="22"/>
                <w:szCs w:val="22"/>
                <w:lang w:val="es-MX"/>
              </w:rPr>
              <w:t>Modificaciones al Presupuesto de Egresos Aprobado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317B47">
              <w:rPr>
                <w:rFonts w:eastAsia="Calibri" w:cs="Times New Roman"/>
                <w:bCs/>
                <w:sz w:val="22"/>
                <w:szCs w:val="22"/>
                <w:lang w:val="es-MX"/>
              </w:rPr>
              <w:t>101,780,809,455.21</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035D40">
              <w:rPr>
                <w:rFonts w:eastAsia="Calibri" w:cs="Times New Roman"/>
                <w:bCs/>
                <w:sz w:val="22"/>
                <w:szCs w:val="22"/>
                <w:lang w:val="es-MX"/>
              </w:rPr>
              <w:t>Presupuesto de Egresos Comprometido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EC778A">
              <w:rPr>
                <w:rFonts w:eastAsia="Calibri" w:cs="Times New Roman"/>
                <w:bCs/>
                <w:sz w:val="22"/>
                <w:szCs w:val="22"/>
                <w:lang w:val="es-MX"/>
              </w:rPr>
              <w:t>23,557,052,511.91</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035D40">
              <w:rPr>
                <w:rFonts w:eastAsia="Calibri" w:cs="Times New Roman"/>
                <w:bCs/>
                <w:sz w:val="22"/>
                <w:szCs w:val="22"/>
                <w:lang w:val="es-MX"/>
              </w:rPr>
              <w:t>Presupuesto de Egresos Devengado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EC778A">
              <w:rPr>
                <w:rFonts w:eastAsia="Calibri" w:cs="Times New Roman"/>
                <w:bCs/>
                <w:sz w:val="22"/>
                <w:szCs w:val="22"/>
                <w:lang w:val="es-MX"/>
              </w:rPr>
              <w:t>23,557,052,511.91</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035D40">
              <w:rPr>
                <w:rFonts w:eastAsia="Calibri" w:cs="Times New Roman"/>
                <w:bCs/>
                <w:sz w:val="22"/>
                <w:szCs w:val="22"/>
                <w:lang w:val="es-MX"/>
              </w:rPr>
              <w:t>Presupuesto de Egresos Ejercido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A5595E">
              <w:rPr>
                <w:rFonts w:eastAsia="Calibri" w:cs="Times New Roman"/>
                <w:bCs/>
                <w:sz w:val="22"/>
                <w:szCs w:val="22"/>
                <w:lang w:val="es-MX"/>
              </w:rPr>
              <w:t>23,557,052,511.91</w:t>
            </w:r>
          </w:p>
        </w:tc>
      </w:tr>
      <w:tr w:rsidR="00995380" w:rsidRPr="00035D40" w:rsidTr="000858E1">
        <w:tc>
          <w:tcPr>
            <w:tcW w:w="4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035D40">
              <w:rPr>
                <w:rFonts w:eastAsia="Calibri" w:cs="Times New Roman"/>
                <w:bCs/>
                <w:sz w:val="22"/>
                <w:szCs w:val="22"/>
                <w:lang w:val="es-MX"/>
              </w:rPr>
              <w:t>Presupuesto de Egresos Pagado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380" w:rsidRPr="00035D40" w:rsidRDefault="00995380" w:rsidP="000858E1">
            <w:pPr>
              <w:spacing w:before="0" w:after="0"/>
              <w:rPr>
                <w:rFonts w:eastAsia="Calibri" w:cs="Times New Roman"/>
                <w:bCs/>
                <w:sz w:val="22"/>
                <w:szCs w:val="22"/>
                <w:lang w:val="es-MX"/>
              </w:rPr>
            </w:pPr>
            <w:r w:rsidRPr="00EC778A">
              <w:rPr>
                <w:rFonts w:eastAsia="Calibri" w:cs="Times New Roman"/>
                <w:bCs/>
                <w:sz w:val="22"/>
                <w:szCs w:val="22"/>
                <w:lang w:val="es-MX"/>
              </w:rPr>
              <w:t>22,995,261,346.06</w:t>
            </w:r>
          </w:p>
        </w:tc>
      </w:tr>
    </w:tbl>
    <w:p w:rsidR="00995380" w:rsidRPr="00035D40" w:rsidRDefault="00995380" w:rsidP="00995380">
      <w:pPr>
        <w:spacing w:before="0" w:after="0"/>
        <w:rPr>
          <w:rFonts w:eastAsia="Calibri" w:cs="Times New Roman"/>
          <w:bCs/>
          <w:sz w:val="22"/>
          <w:szCs w:val="22"/>
          <w:lang w:val="es-MX"/>
        </w:rPr>
      </w:pPr>
    </w:p>
    <w:p w:rsidR="00995380" w:rsidRDefault="00995380" w:rsidP="00995380">
      <w:pPr>
        <w:spacing w:before="0" w:after="0"/>
        <w:rPr>
          <w:rFonts w:eastAsia="Calibri" w:cs="Times New Roman"/>
          <w:bCs/>
          <w:sz w:val="22"/>
          <w:szCs w:val="22"/>
        </w:rPr>
      </w:pPr>
    </w:p>
    <w:p w:rsidR="00995380" w:rsidRDefault="00995380" w:rsidP="00995380">
      <w:pPr>
        <w:spacing w:before="0" w:after="0"/>
        <w:rPr>
          <w:rFonts w:eastAsia="Calibri" w:cs="Times New Roman"/>
          <w:bCs/>
          <w:sz w:val="22"/>
          <w:szCs w:val="22"/>
        </w:rPr>
      </w:pPr>
    </w:p>
    <w:p w:rsidR="00995380" w:rsidRPr="005D257C" w:rsidRDefault="00995380" w:rsidP="00995380">
      <w:pPr>
        <w:spacing w:before="0" w:after="0"/>
        <w:rPr>
          <w:rFonts w:eastAsia="Calibri" w:cs="Times New Roman"/>
          <w:bCs/>
          <w:sz w:val="22"/>
          <w:szCs w:val="22"/>
        </w:rPr>
      </w:pPr>
    </w:p>
    <w:p w:rsidR="00995380" w:rsidRPr="005D257C" w:rsidRDefault="00995380" w:rsidP="00995380">
      <w:pPr>
        <w:spacing w:before="0" w:after="0" w:line="276" w:lineRule="auto"/>
        <w:jc w:val="center"/>
        <w:rPr>
          <w:rFonts w:eastAsia="Calibri" w:cs="Times New Roman"/>
          <w:bCs/>
          <w:sz w:val="22"/>
          <w:szCs w:val="22"/>
        </w:rPr>
      </w:pPr>
      <w:r w:rsidRPr="005D257C">
        <w:rPr>
          <w:rFonts w:eastAsia="Calibri" w:cs="Times New Roman"/>
          <w:bCs/>
          <w:sz w:val="22"/>
          <w:szCs w:val="22"/>
        </w:rPr>
        <w:t>______________________________</w:t>
      </w:r>
    </w:p>
    <w:p w:rsidR="00995380" w:rsidRPr="005D257C" w:rsidRDefault="00995380" w:rsidP="00995380">
      <w:pPr>
        <w:spacing w:line="276" w:lineRule="auto"/>
        <w:jc w:val="center"/>
        <w:rPr>
          <w:rFonts w:eastAsia="Calibri" w:cs="Times New Roman"/>
          <w:bCs/>
          <w:sz w:val="22"/>
          <w:szCs w:val="22"/>
        </w:rPr>
      </w:pPr>
      <w:r w:rsidRPr="005D257C">
        <w:rPr>
          <w:rFonts w:eastAsia="Calibri" w:cs="Times New Roman"/>
          <w:bCs/>
          <w:sz w:val="22"/>
          <w:szCs w:val="22"/>
        </w:rPr>
        <w:t>DR. GUSTAVO OBLEA ROSALES</w:t>
      </w:r>
    </w:p>
    <w:p w:rsidR="00995380" w:rsidRPr="005D257C" w:rsidRDefault="00995380" w:rsidP="00995380">
      <w:pPr>
        <w:spacing w:line="276" w:lineRule="auto"/>
        <w:jc w:val="center"/>
        <w:rPr>
          <w:rFonts w:eastAsia="Calibri" w:cs="Times New Roman"/>
          <w:bCs/>
          <w:sz w:val="22"/>
          <w:szCs w:val="22"/>
        </w:rPr>
      </w:pPr>
      <w:r w:rsidRPr="005D257C">
        <w:rPr>
          <w:rFonts w:eastAsia="Calibri" w:cs="Times New Roman"/>
          <w:bCs/>
          <w:sz w:val="22"/>
          <w:szCs w:val="22"/>
        </w:rPr>
        <w:t>DIRECTOR DE CONTABILIDAD GUBERNAMENTAL</w:t>
      </w:r>
    </w:p>
    <w:p w:rsidR="00995380" w:rsidRPr="005D257C" w:rsidRDefault="00995380" w:rsidP="00995380">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95380" w:rsidRPr="005D257C" w:rsidTr="000858E1">
        <w:tc>
          <w:tcPr>
            <w:tcW w:w="9992" w:type="dxa"/>
          </w:tcPr>
          <w:p w:rsidR="00995380" w:rsidRPr="005D257C" w:rsidRDefault="00995380" w:rsidP="000858E1">
            <w:pPr>
              <w:jc w:val="center"/>
              <w:rPr>
                <w:rFonts w:eastAsia="Calibri" w:cs="Times New Roman"/>
                <w:bCs/>
              </w:rPr>
            </w:pPr>
            <w:r w:rsidRPr="005D257C">
              <w:t>“</w:t>
            </w:r>
            <w:r w:rsidRPr="005D257C">
              <w:rPr>
                <w:rFonts w:eastAsia="Calibri" w:cs="Times New Roman"/>
                <w:bCs/>
              </w:rPr>
              <w:t>Bajo protesta de decir verdad declaro que los Estados Financieros y sus notas, son razonablemente correctos y son responsabilidad del emisor”</w:t>
            </w:r>
          </w:p>
        </w:tc>
      </w:tr>
    </w:tbl>
    <w:p w:rsidR="00231ECA" w:rsidRDefault="00231ECA"/>
    <w:p w:rsidR="00995380" w:rsidRDefault="00995380"/>
    <w:sectPr w:rsidR="00995380">
      <w:headerReference w:type="default" r:id="rId49"/>
      <w:foot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D2F" w:rsidRDefault="004D0D2F" w:rsidP="00995380">
      <w:pPr>
        <w:spacing w:before="0" w:after="0" w:line="240" w:lineRule="auto"/>
      </w:pPr>
      <w:r>
        <w:separator/>
      </w:r>
    </w:p>
  </w:endnote>
  <w:endnote w:type="continuationSeparator" w:id="0">
    <w:p w:rsidR="004D0D2F" w:rsidRDefault="004D0D2F" w:rsidP="009953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80" w:rsidRDefault="00995380">
    <w:pPr>
      <w:pStyle w:val="Piedepgina"/>
    </w:pPr>
    <w:r>
      <w:rPr>
        <w:noProof/>
        <w:lang w:val="es-MX" w:eastAsia="es-MX"/>
      </w:rPr>
      <w:drawing>
        <wp:anchor distT="0" distB="0" distL="114300" distR="114300" simplePos="0" relativeHeight="251663360" behindDoc="1" locked="0" layoutInCell="1" allowOverlap="1" wp14:anchorId="5FD9915D" wp14:editId="38AA88C2">
          <wp:simplePos x="0" y="0"/>
          <wp:positionH relativeFrom="page">
            <wp:align>left</wp:align>
          </wp:positionH>
          <wp:positionV relativeFrom="paragraph">
            <wp:posOffset>200025</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D2F" w:rsidRDefault="004D0D2F" w:rsidP="00995380">
      <w:pPr>
        <w:spacing w:before="0" w:after="0" w:line="240" w:lineRule="auto"/>
      </w:pPr>
      <w:r>
        <w:separator/>
      </w:r>
    </w:p>
  </w:footnote>
  <w:footnote w:type="continuationSeparator" w:id="0">
    <w:p w:rsidR="004D0D2F" w:rsidRDefault="004D0D2F" w:rsidP="0099538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80" w:rsidRDefault="00995380">
    <w:pPr>
      <w:pStyle w:val="Encabezado"/>
    </w:pPr>
    <w:r>
      <w:rPr>
        <w:noProof/>
        <w:lang w:val="es-MX" w:eastAsia="es-MX"/>
      </w:rPr>
      <mc:AlternateContent>
        <mc:Choice Requires="wps">
          <w:drawing>
            <wp:anchor distT="45720" distB="45720" distL="114300" distR="114300" simplePos="0" relativeHeight="251661312" behindDoc="0" locked="0" layoutInCell="1" allowOverlap="1" wp14:anchorId="0967010F" wp14:editId="4FA05252">
              <wp:simplePos x="0" y="0"/>
              <wp:positionH relativeFrom="margin">
                <wp:align>center</wp:align>
              </wp:positionH>
              <wp:positionV relativeFrom="paragraph">
                <wp:posOffset>-116205</wp:posOffset>
              </wp:positionV>
              <wp:extent cx="236093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noFill/>
                      <a:ln w="9525">
                        <a:noFill/>
                        <a:miter lim="800000"/>
                        <a:headEnd/>
                        <a:tailEnd/>
                      </a:ln>
                    </wps:spPr>
                    <wps:txbx>
                      <w:txbxContent>
                        <w:p w:rsidR="00995380" w:rsidRPr="00995380" w:rsidRDefault="00995380" w:rsidP="00995380">
                          <w:pPr>
                            <w:spacing w:before="0" w:after="160" w:line="259" w:lineRule="auto"/>
                            <w:jc w:val="center"/>
                            <w:rPr>
                              <w:rFonts w:ascii="Calibri" w:hAnsi="Calibri" w:cs="Calibri"/>
                              <w:b/>
                              <w:bCs/>
                              <w:i/>
                              <w:iCs/>
                              <w:color w:val="FFE1E9"/>
                              <w:sz w:val="40"/>
                              <w:szCs w:val="40"/>
                            </w:rPr>
                          </w:pPr>
                          <w:r w:rsidRPr="00995380">
                            <w:rPr>
                              <w:rFonts w:ascii="Calibri" w:hAnsi="Calibri" w:cs="Calibri"/>
                              <w:b/>
                              <w:bCs/>
                              <w:i/>
                              <w:iCs/>
                              <w:color w:val="FFE1E9"/>
                              <w:sz w:val="40"/>
                              <w:szCs w:val="40"/>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967010F" id="_x0000_t202" coordsize="21600,21600" o:spt="202" path="m,l,21600r21600,l21600,xe">
              <v:stroke joinstyle="miter"/>
              <v:path gradientshapeok="t" o:connecttype="rect"/>
            </v:shapetype>
            <v:shape id="Text Box 2" o:spid="_x0000_s1026" type="#_x0000_t202" style="position:absolute;left:0;text-align:left;margin-left:0;margin-top:-9.15pt;width:185.9pt;height:31.5pt;z-index:25166131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" filled="f" stroked="f">
              <v:textbox>
                <w:txbxContent>
                  <w:p w:rsidR="00995380" w:rsidRPr="00995380" w:rsidRDefault="00995380" w:rsidP="00995380">
                    <w:pPr>
                      <w:spacing w:before="0" w:after="160" w:line="259" w:lineRule="auto"/>
                      <w:jc w:val="center"/>
                      <w:rPr>
                        <w:rFonts w:ascii="Calibri" w:hAnsi="Calibri" w:cs="Calibri"/>
                        <w:b/>
                        <w:bCs/>
                        <w:i/>
                        <w:iCs/>
                        <w:color w:val="FFE1E9"/>
                        <w:sz w:val="40"/>
                        <w:szCs w:val="40"/>
                      </w:rPr>
                    </w:pPr>
                    <w:r w:rsidRPr="00995380">
                      <w:rPr>
                        <w:rFonts w:ascii="Calibri" w:hAnsi="Calibri" w:cs="Calibri"/>
                        <w:b/>
                        <w:bCs/>
                        <w:i/>
                        <w:iCs/>
                        <w:color w:val="FFE1E9"/>
                        <w:sz w:val="40"/>
                        <w:szCs w:val="40"/>
                      </w:rPr>
                      <w:t>2024</w:t>
                    </w:r>
                  </w:p>
                </w:txbxContent>
              </v:textbox>
              <w10:wrap anchorx="margin"/>
            </v:shape>
          </w:pict>
        </mc:Fallback>
      </mc:AlternateContent>
    </w:r>
    <w:r>
      <w:rPr>
        <w:noProof/>
        <w:lang w:val="es-MX" w:eastAsia="es-MX"/>
      </w:rPr>
      <w:drawing>
        <wp:anchor distT="0" distB="0" distL="114300" distR="114300" simplePos="0" relativeHeight="251659264" behindDoc="1" locked="0" layoutInCell="1" allowOverlap="1" wp14:anchorId="23A996A6" wp14:editId="3C05171A">
          <wp:simplePos x="0" y="0"/>
          <wp:positionH relativeFrom="margin">
            <wp:align>center</wp:align>
          </wp:positionH>
          <wp:positionV relativeFrom="paragraph">
            <wp:posOffset>-295910</wp:posOffset>
          </wp:positionV>
          <wp:extent cx="7201607" cy="527050"/>
          <wp:effectExtent l="0" t="0" r="0" b="6350"/>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1607" cy="52705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2C5185"/>
    <w:multiLevelType w:val="hybridMultilevel"/>
    <w:tmpl w:val="946A15F0"/>
    <w:lvl w:ilvl="0" w:tplc="DED2B99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1D113F"/>
    <w:multiLevelType w:val="hybridMultilevel"/>
    <w:tmpl w:val="A5DC7AA8"/>
    <w:lvl w:ilvl="0" w:tplc="289A25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4C1EB6"/>
    <w:multiLevelType w:val="hybridMultilevel"/>
    <w:tmpl w:val="C5980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A313EF"/>
    <w:multiLevelType w:val="hybridMultilevel"/>
    <w:tmpl w:val="A126AF02"/>
    <w:lvl w:ilvl="0" w:tplc="8D6035F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3"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4"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AF35C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B85A2B"/>
    <w:multiLevelType w:val="hybridMultilevel"/>
    <w:tmpl w:val="BA2CB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8E34A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80B4058"/>
    <w:multiLevelType w:val="hybridMultilevel"/>
    <w:tmpl w:val="2C1A3E5A"/>
    <w:lvl w:ilvl="0" w:tplc="80641B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53E0E7F"/>
    <w:multiLevelType w:val="hybridMultilevel"/>
    <w:tmpl w:val="9DDEE0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7"/>
  </w:num>
  <w:num w:numId="3">
    <w:abstractNumId w:val="13"/>
  </w:num>
  <w:num w:numId="4">
    <w:abstractNumId w:val="24"/>
  </w:num>
  <w:num w:numId="5">
    <w:abstractNumId w:val="22"/>
  </w:num>
  <w:num w:numId="6">
    <w:abstractNumId w:val="19"/>
  </w:num>
  <w:num w:numId="7">
    <w:abstractNumId w:val="12"/>
  </w:num>
  <w:num w:numId="8">
    <w:abstractNumId w:val="1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0"/>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23"/>
  </w:num>
  <w:num w:numId="17">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1"/>
  </w:num>
  <w:num w:numId="23">
    <w:abstractNumId w:val="2"/>
  </w:num>
  <w:num w:numId="24">
    <w:abstractNumId w:val="20"/>
  </w:num>
  <w:num w:numId="25">
    <w:abstractNumId w:val="8"/>
  </w:num>
  <w:num w:numId="26">
    <w:abstractNumId w:val="9"/>
  </w:num>
  <w:num w:numId="27">
    <w:abstractNumId w:val="28"/>
  </w:num>
  <w:num w:numId="28">
    <w:abstractNumId w:val="6"/>
  </w:num>
  <w:num w:numId="29">
    <w:abstractNumId w:val="0"/>
  </w:num>
  <w:num w:numId="30">
    <w:abstractNumId w:val="26"/>
  </w:num>
  <w:num w:numId="31">
    <w:abstractNumId w:val="15"/>
  </w:num>
  <w:num w:numId="32">
    <w:abstractNumId w:val="25"/>
  </w:num>
  <w:num w:numId="33">
    <w:abstractNumId w:val="16"/>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380"/>
    <w:rsid w:val="00231ECA"/>
    <w:rsid w:val="004D0D2F"/>
    <w:rsid w:val="00995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165E42-4893-4ED6-9F91-D3A44D36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380"/>
    <w:pPr>
      <w:spacing w:before="60" w:after="60" w:line="360" w:lineRule="auto"/>
      <w:jc w:val="both"/>
    </w:pPr>
    <w:rPr>
      <w:rFonts w:ascii="GalanoGrotesque-Light" w:hAnsi="GalanoGrotesque-Light"/>
      <w:sz w:val="24"/>
      <w:szCs w:val="24"/>
      <w:lang w:val="es-ES"/>
    </w:rPr>
  </w:style>
  <w:style w:type="paragraph" w:styleId="Ttulo1">
    <w:name w:val="heading 1"/>
    <w:basedOn w:val="Normal"/>
    <w:next w:val="Normal"/>
    <w:link w:val="Ttulo1Car"/>
    <w:uiPriority w:val="9"/>
    <w:qFormat/>
    <w:rsid w:val="0099538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99538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99538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99538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95380"/>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9538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99538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9538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538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5380"/>
    <w:rPr>
      <w:rFonts w:ascii="GalanoGrotesque-Bold" w:eastAsiaTheme="majorEastAsia" w:hAnsi="GalanoGrotesque-Bold" w:cstheme="majorBidi"/>
      <w:color w:val="000000" w:themeColor="text1"/>
      <w:sz w:val="40"/>
      <w:szCs w:val="32"/>
      <w:lang w:val="es-ES"/>
    </w:rPr>
  </w:style>
  <w:style w:type="character" w:customStyle="1" w:styleId="Ttulo2Car">
    <w:name w:val="Título 2 Car"/>
    <w:basedOn w:val="Fuentedeprrafopredeter"/>
    <w:link w:val="Ttulo2"/>
    <w:uiPriority w:val="9"/>
    <w:rsid w:val="00995380"/>
    <w:rPr>
      <w:rFonts w:ascii="GalanoGrotesque-Bold" w:eastAsiaTheme="majorEastAsia" w:hAnsi="GalanoGrotesque-Bold" w:cstheme="majorBidi"/>
      <w:color w:val="000000" w:themeColor="text1"/>
      <w:sz w:val="32"/>
      <w:szCs w:val="26"/>
      <w:lang w:val="es-ES"/>
    </w:rPr>
  </w:style>
  <w:style w:type="character" w:customStyle="1" w:styleId="Ttulo3Car">
    <w:name w:val="Título 3 Car"/>
    <w:basedOn w:val="Fuentedeprrafopredeter"/>
    <w:link w:val="Ttulo3"/>
    <w:uiPriority w:val="9"/>
    <w:rsid w:val="00995380"/>
    <w:rPr>
      <w:rFonts w:ascii="GalanoGrotesque-Bold" w:eastAsiaTheme="majorEastAsia" w:hAnsi="GalanoGrotesque-Bold" w:cstheme="majorBidi"/>
      <w:sz w:val="28"/>
      <w:szCs w:val="24"/>
      <w:lang w:val="es-ES"/>
    </w:rPr>
  </w:style>
  <w:style w:type="character" w:customStyle="1" w:styleId="Ttulo4Car">
    <w:name w:val="Título 4 Car"/>
    <w:basedOn w:val="Fuentedeprrafopredeter"/>
    <w:link w:val="Ttulo4"/>
    <w:uiPriority w:val="9"/>
    <w:rsid w:val="00995380"/>
    <w:rPr>
      <w:rFonts w:asciiTheme="majorHAnsi" w:eastAsiaTheme="majorEastAsia" w:hAnsiTheme="majorHAnsi" w:cstheme="majorBidi"/>
      <w:i/>
      <w:iCs/>
      <w:color w:val="2E74B5" w:themeColor="accent1" w:themeShade="BF"/>
      <w:sz w:val="24"/>
      <w:szCs w:val="24"/>
      <w:lang w:val="es-ES"/>
    </w:rPr>
  </w:style>
  <w:style w:type="character" w:customStyle="1" w:styleId="Ttulo5Car">
    <w:name w:val="Título 5 Car"/>
    <w:basedOn w:val="Fuentedeprrafopredeter"/>
    <w:link w:val="Ttulo5"/>
    <w:uiPriority w:val="9"/>
    <w:semiHidden/>
    <w:rsid w:val="00995380"/>
    <w:rPr>
      <w:rFonts w:asciiTheme="majorHAnsi" w:eastAsiaTheme="majorEastAsia" w:hAnsiTheme="majorHAnsi" w:cstheme="majorBidi"/>
      <w:color w:val="2E74B5" w:themeColor="accent1" w:themeShade="BF"/>
      <w:sz w:val="24"/>
      <w:szCs w:val="24"/>
      <w:lang w:val="es-ES"/>
    </w:rPr>
  </w:style>
  <w:style w:type="character" w:customStyle="1" w:styleId="Ttulo6Car">
    <w:name w:val="Título 6 Car"/>
    <w:basedOn w:val="Fuentedeprrafopredeter"/>
    <w:link w:val="Ttulo6"/>
    <w:uiPriority w:val="9"/>
    <w:semiHidden/>
    <w:rsid w:val="00995380"/>
    <w:rPr>
      <w:rFonts w:asciiTheme="majorHAnsi" w:eastAsiaTheme="majorEastAsia" w:hAnsiTheme="majorHAnsi" w:cstheme="majorBidi"/>
      <w:color w:val="1F4D78" w:themeColor="accent1" w:themeShade="7F"/>
      <w:sz w:val="24"/>
      <w:szCs w:val="24"/>
      <w:lang w:val="es-ES"/>
    </w:rPr>
  </w:style>
  <w:style w:type="character" w:customStyle="1" w:styleId="Ttulo7Car">
    <w:name w:val="Título 7 Car"/>
    <w:basedOn w:val="Fuentedeprrafopredeter"/>
    <w:link w:val="Ttulo7"/>
    <w:uiPriority w:val="9"/>
    <w:semiHidden/>
    <w:rsid w:val="00995380"/>
    <w:rPr>
      <w:rFonts w:asciiTheme="majorHAnsi" w:eastAsiaTheme="majorEastAsia" w:hAnsiTheme="majorHAnsi" w:cstheme="majorBidi"/>
      <w:i/>
      <w:iCs/>
      <w:color w:val="1F4D78" w:themeColor="accent1" w:themeShade="7F"/>
      <w:sz w:val="24"/>
      <w:szCs w:val="24"/>
      <w:lang w:val="es-ES"/>
    </w:rPr>
  </w:style>
  <w:style w:type="character" w:customStyle="1" w:styleId="Ttulo8Car">
    <w:name w:val="Título 8 Car"/>
    <w:basedOn w:val="Fuentedeprrafopredeter"/>
    <w:link w:val="Ttulo8"/>
    <w:uiPriority w:val="9"/>
    <w:semiHidden/>
    <w:rsid w:val="00995380"/>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995380"/>
    <w:rPr>
      <w:rFonts w:asciiTheme="majorHAnsi" w:eastAsiaTheme="majorEastAsia" w:hAnsiTheme="majorHAnsi" w:cstheme="majorBidi"/>
      <w:i/>
      <w:iCs/>
      <w:color w:val="272727" w:themeColor="text1" w:themeTint="D8"/>
      <w:sz w:val="21"/>
      <w:szCs w:val="21"/>
      <w:lang w:val="es-ES"/>
    </w:rPr>
  </w:style>
  <w:style w:type="paragraph" w:styleId="Encabezado">
    <w:name w:val="header"/>
    <w:basedOn w:val="Normal"/>
    <w:link w:val="EncabezadoCar"/>
    <w:uiPriority w:val="99"/>
    <w:unhideWhenUsed/>
    <w:rsid w:val="0099538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995380"/>
    <w:rPr>
      <w:rFonts w:ascii="GalanoGrotesque-Light" w:hAnsi="GalanoGrotesque-Light"/>
      <w:sz w:val="24"/>
      <w:szCs w:val="24"/>
      <w:lang w:val="es-ES"/>
    </w:rPr>
  </w:style>
  <w:style w:type="paragraph" w:styleId="Piedepgina">
    <w:name w:val="footer"/>
    <w:basedOn w:val="Normal"/>
    <w:link w:val="PiedepginaCar"/>
    <w:uiPriority w:val="99"/>
    <w:unhideWhenUsed/>
    <w:rsid w:val="0099538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995380"/>
    <w:rPr>
      <w:rFonts w:ascii="GalanoGrotesque-Light" w:hAnsi="GalanoGrotesque-Light"/>
      <w:sz w:val="24"/>
      <w:szCs w:val="24"/>
      <w:lang w:val="es-ES"/>
    </w:rPr>
  </w:style>
  <w:style w:type="paragraph" w:styleId="Sinespaciado">
    <w:name w:val="No Spacing"/>
    <w:link w:val="SinespaciadoCar"/>
    <w:uiPriority w:val="1"/>
    <w:qFormat/>
    <w:rsid w:val="00995380"/>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995380"/>
    <w:rPr>
      <w:rFonts w:eastAsiaTheme="minorEastAsia"/>
      <w:lang w:val="es-ES" w:eastAsia="es-ES"/>
    </w:rPr>
  </w:style>
  <w:style w:type="numbering" w:customStyle="1" w:styleId="CtaPub">
    <w:name w:val="CtaPub"/>
    <w:uiPriority w:val="99"/>
    <w:rsid w:val="00995380"/>
    <w:pPr>
      <w:numPr>
        <w:numId w:val="1"/>
      </w:numPr>
    </w:pPr>
  </w:style>
  <w:style w:type="paragraph" w:styleId="TDC1">
    <w:name w:val="toc 1"/>
    <w:basedOn w:val="Normal"/>
    <w:next w:val="Normal"/>
    <w:autoRedefine/>
    <w:uiPriority w:val="39"/>
    <w:unhideWhenUsed/>
    <w:rsid w:val="00995380"/>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995380"/>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995380"/>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995380"/>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995380"/>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995380"/>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995380"/>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995380"/>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995380"/>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995380"/>
    <w:rPr>
      <w:color w:val="0563C1" w:themeColor="hyperlink"/>
      <w:u w:val="single"/>
    </w:rPr>
  </w:style>
  <w:style w:type="paragraph" w:styleId="Textodeglobo">
    <w:name w:val="Balloon Text"/>
    <w:basedOn w:val="Normal"/>
    <w:link w:val="TextodegloboCar"/>
    <w:uiPriority w:val="99"/>
    <w:semiHidden/>
    <w:unhideWhenUsed/>
    <w:rsid w:val="0099538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5380"/>
    <w:rPr>
      <w:rFonts w:ascii="Segoe UI" w:hAnsi="Segoe UI" w:cs="Segoe UI"/>
      <w:sz w:val="18"/>
      <w:szCs w:val="18"/>
      <w:lang w:val="es-ES"/>
    </w:rPr>
  </w:style>
  <w:style w:type="paragraph" w:styleId="TtulodeTDC">
    <w:name w:val="TOC Heading"/>
    <w:basedOn w:val="Ttulo1"/>
    <w:next w:val="Normal"/>
    <w:uiPriority w:val="39"/>
    <w:unhideWhenUsed/>
    <w:qFormat/>
    <w:rsid w:val="00995380"/>
    <w:pPr>
      <w:spacing w:line="259" w:lineRule="auto"/>
      <w:jc w:val="left"/>
      <w:outlineLvl w:val="9"/>
    </w:pPr>
    <w:rPr>
      <w:rFonts w:asciiTheme="majorHAnsi" w:hAnsiTheme="majorHAnsi"/>
      <w:color w:val="2E74B5" w:themeColor="accent1" w:themeShade="BF"/>
      <w:sz w:val="32"/>
      <w:lang w:eastAsia="es-ES"/>
    </w:rPr>
  </w:style>
  <w:style w:type="paragraph" w:styleId="Prrafodelista">
    <w:name w:val="List Paragraph"/>
    <w:basedOn w:val="Normal"/>
    <w:link w:val="PrrafodelistaCar"/>
    <w:uiPriority w:val="34"/>
    <w:qFormat/>
    <w:rsid w:val="00995380"/>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995380"/>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995380"/>
    <w:rPr>
      <w:rFonts w:ascii="Arial" w:eastAsia="Arial" w:hAnsi="Arial"/>
      <w:noProof/>
      <w:sz w:val="20"/>
      <w:szCs w:val="20"/>
      <w:lang w:val="es-ES"/>
    </w:rPr>
  </w:style>
  <w:style w:type="character" w:styleId="Refdecomentario">
    <w:name w:val="annotation reference"/>
    <w:basedOn w:val="Fuentedeprrafopredeter"/>
    <w:uiPriority w:val="99"/>
    <w:semiHidden/>
    <w:unhideWhenUsed/>
    <w:rsid w:val="00995380"/>
    <w:rPr>
      <w:sz w:val="16"/>
      <w:szCs w:val="16"/>
    </w:rPr>
  </w:style>
  <w:style w:type="paragraph" w:styleId="Textocomentario">
    <w:name w:val="annotation text"/>
    <w:basedOn w:val="Normal"/>
    <w:link w:val="TextocomentarioCar"/>
    <w:uiPriority w:val="99"/>
    <w:unhideWhenUsed/>
    <w:rsid w:val="00995380"/>
    <w:pPr>
      <w:spacing w:line="240" w:lineRule="auto"/>
    </w:pPr>
    <w:rPr>
      <w:sz w:val="20"/>
      <w:szCs w:val="20"/>
    </w:rPr>
  </w:style>
  <w:style w:type="character" w:customStyle="1" w:styleId="TextocomentarioCar">
    <w:name w:val="Texto comentario Car"/>
    <w:basedOn w:val="Fuentedeprrafopredeter"/>
    <w:link w:val="Textocomentario"/>
    <w:uiPriority w:val="99"/>
    <w:rsid w:val="00995380"/>
    <w:rPr>
      <w:rFonts w:ascii="GalanoGrotesque-Light" w:hAnsi="GalanoGrotesque-Light"/>
      <w:sz w:val="20"/>
      <w:szCs w:val="20"/>
      <w:lang w:val="es-ES"/>
    </w:rPr>
  </w:style>
  <w:style w:type="paragraph" w:styleId="Asuntodelcomentario">
    <w:name w:val="annotation subject"/>
    <w:basedOn w:val="Textocomentario"/>
    <w:next w:val="Textocomentario"/>
    <w:link w:val="AsuntodelcomentarioCar"/>
    <w:uiPriority w:val="99"/>
    <w:semiHidden/>
    <w:unhideWhenUsed/>
    <w:rsid w:val="00995380"/>
    <w:rPr>
      <w:b/>
      <w:bCs/>
    </w:rPr>
  </w:style>
  <w:style w:type="character" w:customStyle="1" w:styleId="AsuntodelcomentarioCar">
    <w:name w:val="Asunto del comentario Car"/>
    <w:basedOn w:val="TextocomentarioCar"/>
    <w:link w:val="Asuntodelcomentario"/>
    <w:uiPriority w:val="99"/>
    <w:semiHidden/>
    <w:rsid w:val="00995380"/>
    <w:rPr>
      <w:rFonts w:ascii="GalanoGrotesque-Light" w:hAnsi="GalanoGrotesque-Light"/>
      <w:b/>
      <w:bCs/>
      <w:sz w:val="20"/>
      <w:szCs w:val="20"/>
      <w:lang w:val="es-ES"/>
    </w:rPr>
  </w:style>
  <w:style w:type="table" w:customStyle="1" w:styleId="TableNormal1">
    <w:name w:val="Table Normal1"/>
    <w:uiPriority w:val="2"/>
    <w:semiHidden/>
    <w:unhideWhenUsed/>
    <w:qFormat/>
    <w:rsid w:val="0099538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5380"/>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995380"/>
    <w:pPr>
      <w:numPr>
        <w:numId w:val="4"/>
      </w:numPr>
    </w:pPr>
  </w:style>
  <w:style w:type="paragraph" w:styleId="Descripcin">
    <w:name w:val="caption"/>
    <w:basedOn w:val="Normal"/>
    <w:next w:val="Normal"/>
    <w:uiPriority w:val="35"/>
    <w:unhideWhenUsed/>
    <w:qFormat/>
    <w:rsid w:val="00995380"/>
    <w:pPr>
      <w:widowControl w:val="0"/>
      <w:spacing w:before="0" w:after="200" w:line="240" w:lineRule="auto"/>
      <w:jc w:val="left"/>
    </w:pPr>
    <w:rPr>
      <w:rFonts w:asciiTheme="minorHAnsi" w:hAnsiTheme="minorHAnsi"/>
      <w:i/>
      <w:iCs/>
      <w:noProof/>
      <w:color w:val="44546A" w:themeColor="text2"/>
      <w:sz w:val="18"/>
      <w:szCs w:val="18"/>
    </w:rPr>
  </w:style>
  <w:style w:type="paragraph" w:customStyle="1" w:styleId="Default">
    <w:name w:val="Default"/>
    <w:rsid w:val="00995380"/>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995380"/>
  </w:style>
  <w:style w:type="paragraph" w:styleId="NormalWeb">
    <w:name w:val="Normal (Web)"/>
    <w:basedOn w:val="Normal"/>
    <w:uiPriority w:val="99"/>
    <w:unhideWhenUsed/>
    <w:rsid w:val="00995380"/>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995380"/>
    <w:rPr>
      <w:color w:val="800080"/>
      <w:u w:val="single"/>
    </w:rPr>
  </w:style>
  <w:style w:type="paragraph" w:customStyle="1" w:styleId="xl65">
    <w:name w:val="xl65"/>
    <w:basedOn w:val="Normal"/>
    <w:rsid w:val="00995380"/>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995380"/>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995380"/>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995380"/>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995380"/>
    <w:rPr>
      <w:noProof/>
      <w:lang w:val="es-ES"/>
    </w:rPr>
  </w:style>
  <w:style w:type="paragraph" w:customStyle="1" w:styleId="Texto">
    <w:name w:val="Texto"/>
    <w:basedOn w:val="Normal"/>
    <w:link w:val="TextoCar"/>
    <w:qFormat/>
    <w:rsid w:val="00995380"/>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995380"/>
    <w:rPr>
      <w:rFonts w:ascii="Arial" w:eastAsia="Times New Roman" w:hAnsi="Arial" w:cs="Arial"/>
      <w:sz w:val="18"/>
      <w:szCs w:val="20"/>
      <w:lang w:val="es-ES" w:eastAsia="es-ES"/>
    </w:rPr>
  </w:style>
  <w:style w:type="paragraph" w:customStyle="1" w:styleId="INCISO">
    <w:name w:val="INCISO"/>
    <w:basedOn w:val="Normal"/>
    <w:rsid w:val="00995380"/>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99538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9538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9538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99538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95380"/>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995380"/>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995380"/>
    <w:rPr>
      <w:vertAlign w:val="superscript"/>
    </w:rPr>
  </w:style>
  <w:style w:type="paragraph" w:styleId="Textoindependiente3">
    <w:name w:val="Body Text 3"/>
    <w:basedOn w:val="Normal"/>
    <w:link w:val="Textoindependiente3Car"/>
    <w:rsid w:val="00995380"/>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995380"/>
    <w:rPr>
      <w:rFonts w:ascii="Arial" w:eastAsia="Times New Roman" w:hAnsi="Arial" w:cs="Times New Roman"/>
      <w:i/>
      <w:sz w:val="28"/>
      <w:szCs w:val="20"/>
      <w:lang w:val="es-ES" w:eastAsia="es-ES"/>
    </w:rPr>
  </w:style>
  <w:style w:type="paragraph" w:customStyle="1" w:styleId="Estndar">
    <w:name w:val="Estándar"/>
    <w:basedOn w:val="Normal"/>
    <w:link w:val="EstndarCar"/>
    <w:rsid w:val="00995380"/>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995380"/>
    <w:rPr>
      <w:rFonts w:ascii="TimesNewRomanPS" w:eastAsia="Times New Roman" w:hAnsi="TimesNewRomanPS" w:cs="Times New Roman"/>
      <w:noProof/>
      <w:sz w:val="20"/>
      <w:szCs w:val="20"/>
      <w:lang w:val="es-ES" w:eastAsia="es-ES"/>
    </w:rPr>
  </w:style>
  <w:style w:type="character" w:styleId="Nmerodepgina">
    <w:name w:val="page number"/>
    <w:basedOn w:val="Fuentedeprrafopredeter"/>
    <w:rsid w:val="00995380"/>
  </w:style>
  <w:style w:type="table" w:customStyle="1" w:styleId="TableGrid">
    <w:name w:val="TableGrid"/>
    <w:rsid w:val="00995380"/>
    <w:pPr>
      <w:spacing w:after="0" w:line="240" w:lineRule="auto"/>
    </w:pPr>
    <w:rPr>
      <w:rFonts w:eastAsiaTheme="minorEastAsia"/>
      <w:lang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995380"/>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995380"/>
    <w:rPr>
      <w:rFonts w:ascii="GalanoGrotesque-Light" w:eastAsia="Arial" w:hAnsi="GalanoGrotesque-Light"/>
      <w:noProof/>
      <w:sz w:val="24"/>
      <w:szCs w:val="24"/>
      <w:lang w:val="es-ES"/>
    </w:rPr>
  </w:style>
  <w:style w:type="paragraph" w:styleId="Revisin">
    <w:name w:val="Revision"/>
    <w:hidden/>
    <w:uiPriority w:val="99"/>
    <w:semiHidden/>
    <w:rsid w:val="00995380"/>
    <w:pPr>
      <w:spacing w:after="0" w:line="240" w:lineRule="auto"/>
    </w:pPr>
    <w:rPr>
      <w:rFonts w:ascii="GalanoGrotesque-Light" w:hAnsi="GalanoGrotesque-Light"/>
      <w:sz w:val="24"/>
      <w:szCs w:val="24"/>
    </w:rPr>
  </w:style>
  <w:style w:type="character" w:customStyle="1" w:styleId="Mencinsinresolver1">
    <w:name w:val="Mención sin resolver1"/>
    <w:basedOn w:val="Fuentedeprrafopredeter"/>
    <w:uiPriority w:val="99"/>
    <w:semiHidden/>
    <w:unhideWhenUsed/>
    <w:rsid w:val="00995380"/>
    <w:rPr>
      <w:color w:val="605E5C"/>
      <w:shd w:val="clear" w:color="auto" w:fill="E1DFDD"/>
    </w:rPr>
  </w:style>
  <w:style w:type="paragraph" w:customStyle="1" w:styleId="ANOTACION">
    <w:name w:val="ANOTACION"/>
    <w:basedOn w:val="Normal"/>
    <w:link w:val="ANOTACIONCar"/>
    <w:rsid w:val="0099538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995380"/>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995380"/>
  </w:style>
  <w:style w:type="numbering" w:customStyle="1" w:styleId="Sinlista2">
    <w:name w:val="Sin lista2"/>
    <w:next w:val="Sinlista"/>
    <w:uiPriority w:val="99"/>
    <w:semiHidden/>
    <w:unhideWhenUsed/>
    <w:rsid w:val="00995380"/>
  </w:style>
  <w:style w:type="character" w:customStyle="1" w:styleId="PrrafodelistaCar">
    <w:name w:val="Párrafo de lista Car"/>
    <w:link w:val="Prrafodelista"/>
    <w:uiPriority w:val="34"/>
    <w:locked/>
    <w:rsid w:val="00995380"/>
    <w:rPr>
      <w:rFonts w:ascii="Times New Roman" w:eastAsia="Times New Roman" w:hAnsi="Times New Roman" w:cs="Times New Roman"/>
      <w:sz w:val="24"/>
      <w:szCs w:val="24"/>
      <w:lang w:val="en-US" w:eastAsia="es-MX"/>
    </w:rPr>
  </w:style>
  <w:style w:type="character" w:styleId="Textoennegrita">
    <w:name w:val="Strong"/>
    <w:basedOn w:val="Fuentedeprrafopredeter"/>
    <w:uiPriority w:val="22"/>
    <w:qFormat/>
    <w:rsid w:val="00995380"/>
    <w:rPr>
      <w:b/>
      <w:bCs/>
    </w:rPr>
  </w:style>
  <w:style w:type="numbering" w:customStyle="1" w:styleId="CtaPub1">
    <w:name w:val="CtaPub1"/>
    <w:uiPriority w:val="99"/>
    <w:rsid w:val="00995380"/>
  </w:style>
  <w:style w:type="numbering" w:customStyle="1" w:styleId="CtaPub2">
    <w:name w:val="CtaPub2"/>
    <w:uiPriority w:val="99"/>
    <w:rsid w:val="00995380"/>
  </w:style>
  <w:style w:type="table" w:customStyle="1" w:styleId="Tablaconcuadrcula4">
    <w:name w:val="Tabla con cuadrícula4"/>
    <w:basedOn w:val="Tablanormal"/>
    <w:next w:val="Tablaconcuadrcula"/>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emf"/><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70</Pages>
  <Words>12031</Words>
  <Characters>66171</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cp:revision>
  <dcterms:created xsi:type="dcterms:W3CDTF">2025-05-14T03:12:00Z</dcterms:created>
  <dcterms:modified xsi:type="dcterms:W3CDTF">2025-05-14T03:16:00Z</dcterms:modified>
</cp:coreProperties>
</file>